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8F20" w14:textId="77777777" w:rsidR="0018756F" w:rsidRPr="0018756F" w:rsidRDefault="0018756F" w:rsidP="0018756F">
      <w:pPr>
        <w:ind w:left="5245"/>
        <w:jc w:val="right"/>
        <w:rPr>
          <w:rFonts w:ascii="Times New Roman" w:hAnsi="Times New Roman" w:cs="Times New Roman"/>
          <w:sz w:val="24"/>
          <w:szCs w:val="24"/>
        </w:rPr>
      </w:pPr>
      <w:r w:rsidRPr="0018756F">
        <w:rPr>
          <w:rFonts w:ascii="Times New Roman" w:hAnsi="Times New Roman" w:cs="Times New Roman"/>
          <w:sz w:val="24"/>
          <w:szCs w:val="24"/>
        </w:rPr>
        <w:t>Tervishoiuteenuste korraldamise seaduse </w:t>
      </w:r>
    </w:p>
    <w:p w14:paraId="4835A3C7" w14:textId="77777777" w:rsidR="0018756F" w:rsidRPr="0018756F" w:rsidRDefault="0018756F" w:rsidP="0018756F">
      <w:pPr>
        <w:ind w:left="5245"/>
        <w:jc w:val="right"/>
        <w:rPr>
          <w:rFonts w:ascii="Times New Roman" w:hAnsi="Times New Roman" w:cs="Times New Roman"/>
          <w:sz w:val="24"/>
          <w:szCs w:val="24"/>
        </w:rPr>
      </w:pPr>
      <w:r w:rsidRPr="0018756F">
        <w:rPr>
          <w:rFonts w:ascii="Times New Roman" w:hAnsi="Times New Roman" w:cs="Times New Roman"/>
          <w:sz w:val="24"/>
          <w:szCs w:val="24"/>
        </w:rPr>
        <w:t> muutmise seaduse eelnõu seletuskiri  </w:t>
      </w:r>
    </w:p>
    <w:p w14:paraId="4CD8EB60" w14:textId="36A2CCAE" w:rsidR="0018756F" w:rsidRPr="0018756F" w:rsidRDefault="0018756F" w:rsidP="0018756F">
      <w:pPr>
        <w:ind w:left="5245"/>
        <w:jc w:val="right"/>
        <w:rPr>
          <w:rFonts w:ascii="Times New Roman" w:hAnsi="Times New Roman" w:cs="Times New Roman"/>
          <w:sz w:val="24"/>
          <w:szCs w:val="24"/>
        </w:rPr>
      </w:pPr>
      <w:r w:rsidRPr="0018756F">
        <w:rPr>
          <w:rFonts w:ascii="Times New Roman" w:hAnsi="Times New Roman" w:cs="Times New Roman"/>
          <w:sz w:val="24"/>
          <w:szCs w:val="24"/>
        </w:rPr>
        <w:t>Lisa </w:t>
      </w:r>
      <w:r>
        <w:rPr>
          <w:rFonts w:ascii="Times New Roman" w:hAnsi="Times New Roman" w:cs="Times New Roman"/>
          <w:sz w:val="24"/>
          <w:szCs w:val="24"/>
        </w:rPr>
        <w:t>1</w:t>
      </w:r>
    </w:p>
    <w:p w14:paraId="0922543C" w14:textId="77777777" w:rsidR="0025369E" w:rsidRPr="00C742F6" w:rsidRDefault="0025369E" w:rsidP="0025369E">
      <w:pPr>
        <w:ind w:left="5245"/>
        <w:jc w:val="right"/>
        <w:rPr>
          <w:rFonts w:ascii="Times New Roman" w:hAnsi="Times New Roman" w:cs="Times New Roman"/>
          <w:sz w:val="24"/>
          <w:szCs w:val="24"/>
        </w:rPr>
      </w:pPr>
    </w:p>
    <w:p w14:paraId="050639D9" w14:textId="77777777" w:rsidR="0025369E" w:rsidRPr="005B5C1E" w:rsidRDefault="0025369E" w:rsidP="0025369E">
      <w:pPr>
        <w:jc w:val="center"/>
        <w:rPr>
          <w:rFonts w:ascii="Times New Roman" w:hAnsi="Times New Roman" w:cs="Times New Roman"/>
          <w:sz w:val="24"/>
          <w:szCs w:val="24"/>
        </w:rPr>
      </w:pPr>
      <w:r w:rsidRPr="2BF27817">
        <w:rPr>
          <w:rFonts w:ascii="Times New Roman" w:hAnsi="Times New Roman" w:cs="Times New Roman"/>
          <w:b/>
          <w:bCs/>
          <w:sz w:val="24"/>
          <w:szCs w:val="24"/>
        </w:rPr>
        <w:t>Kooskõlastustabel</w:t>
      </w:r>
    </w:p>
    <w:p w14:paraId="5AE5E836" w14:textId="77777777" w:rsidR="0025369E" w:rsidRPr="00C742F6" w:rsidRDefault="0025369E" w:rsidP="0025369E">
      <w:pPr>
        <w:rPr>
          <w:rFonts w:ascii="Times New Roman" w:hAnsi="Times New Roman" w:cs="Times New Roman"/>
          <w:sz w:val="24"/>
          <w:szCs w:val="24"/>
        </w:rPr>
      </w:pPr>
    </w:p>
    <w:p w14:paraId="57B323AF" w14:textId="77777777" w:rsidR="001232CF" w:rsidRDefault="001232CF" w:rsidP="0025369E">
      <w:pPr>
        <w:jc w:val="both"/>
        <w:rPr>
          <w:rFonts w:ascii="Times New Roman" w:eastAsia="Times New Roman" w:hAnsi="Times New Roman" w:cs="Times New Roman"/>
          <w:sz w:val="24"/>
          <w:szCs w:val="24"/>
        </w:rPr>
      </w:pPr>
    </w:p>
    <w:tbl>
      <w:tblPr>
        <w:tblStyle w:val="Kontuurtabel"/>
        <w:tblW w:w="14879" w:type="dxa"/>
        <w:tblLook w:val="04A0" w:firstRow="1" w:lastRow="0" w:firstColumn="1" w:lastColumn="0" w:noHBand="0" w:noVBand="1"/>
      </w:tblPr>
      <w:tblGrid>
        <w:gridCol w:w="7432"/>
        <w:gridCol w:w="7447"/>
      </w:tblGrid>
      <w:tr w:rsidR="008D75E1" w14:paraId="77B9B7ED" w14:textId="77777777" w:rsidTr="2283B2C7">
        <w:tc>
          <w:tcPr>
            <w:tcW w:w="7432" w:type="dxa"/>
          </w:tcPr>
          <w:p w14:paraId="6618D578" w14:textId="424F1DBC" w:rsidR="008D75E1" w:rsidRPr="002612F5" w:rsidRDefault="008D75E1" w:rsidP="002612F5">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 xml:space="preserve">Esitatud </w:t>
            </w:r>
            <w:r w:rsidR="006204ED" w:rsidRPr="002612F5">
              <w:rPr>
                <w:rFonts w:ascii="Times New Roman" w:eastAsia="Times New Roman" w:hAnsi="Times New Roman" w:cs="Times New Roman"/>
                <w:b/>
                <w:bCs/>
                <w:sz w:val="24"/>
                <w:szCs w:val="24"/>
              </w:rPr>
              <w:t>märkused või ettepanekud</w:t>
            </w:r>
          </w:p>
        </w:tc>
        <w:tc>
          <w:tcPr>
            <w:tcW w:w="7447" w:type="dxa"/>
          </w:tcPr>
          <w:p w14:paraId="61C25813" w14:textId="5801C8AB" w:rsidR="008D75E1" w:rsidRPr="002612F5" w:rsidRDefault="00D24B25" w:rsidP="002612F5">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714842" w14:paraId="2148E4BE" w14:textId="77777777" w:rsidTr="2283B2C7">
        <w:tc>
          <w:tcPr>
            <w:tcW w:w="14879" w:type="dxa"/>
            <w:gridSpan w:val="2"/>
          </w:tcPr>
          <w:p w14:paraId="53D4AEF6" w14:textId="328F0CF5" w:rsidR="00714842" w:rsidRPr="002612F5" w:rsidRDefault="00620ED5" w:rsidP="002612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Tervisekassa</w:t>
            </w:r>
          </w:p>
        </w:tc>
      </w:tr>
      <w:tr w:rsidR="00990E23" w14:paraId="138FC930" w14:textId="77777777" w:rsidTr="2283B2C7">
        <w:tc>
          <w:tcPr>
            <w:tcW w:w="7432" w:type="dxa"/>
          </w:tcPr>
          <w:p w14:paraId="4723479B" w14:textId="77777777" w:rsidR="00023D22" w:rsidRDefault="00023D22" w:rsidP="0025369E">
            <w:pPr>
              <w:jc w:val="both"/>
              <w:rPr>
                <w:rFonts w:ascii="Times New Roman" w:eastAsia="Times New Roman" w:hAnsi="Times New Roman" w:cs="Times New Roman"/>
                <w:sz w:val="24"/>
                <w:szCs w:val="24"/>
              </w:rPr>
            </w:pPr>
            <w:r w:rsidRPr="00023D22">
              <w:rPr>
                <w:rFonts w:ascii="Times New Roman" w:eastAsia="Times New Roman" w:hAnsi="Times New Roman" w:cs="Times New Roman"/>
                <w:sz w:val="24"/>
                <w:szCs w:val="24"/>
              </w:rPr>
              <w:t xml:space="preserve">Tervisekassa jääb suures osas enda 24.07.2026 arvamuses nr 1.5-1/3514-1 esitatud seisukohtade juurde, kuivõrd eelnõu uues versioonis ei ole esitatud seisukohti suuremas osas arvestatud. Mõistame, et mitmeid küsimusi on poliitikatuumikus arutatud ning nende puhul on tehtud poliitilised valikud. Peame siiski vajalikuks järgnevad seisukohad veel kord esile tuua: </w:t>
            </w:r>
          </w:p>
          <w:p w14:paraId="2A192890" w14:textId="7DC033E1" w:rsidR="00023D22" w:rsidRDefault="00023D2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23D22">
              <w:rPr>
                <w:rFonts w:ascii="Times New Roman" w:eastAsia="Times New Roman" w:hAnsi="Times New Roman" w:cs="Times New Roman"/>
                <w:sz w:val="24"/>
                <w:szCs w:val="24"/>
              </w:rPr>
              <w:t xml:space="preserve"> perearsti keeldumine 1600 inimesega nimistu puhul võib tekitada inimesele arstiabi kättesaadavuse tagamisel olulise ajalise lõhe. Jääme seisukoha juurde, et 1600 inimese piiri rakendamisel tuleb arvestada ka piirkonna tegelikke võimalusi perearstiabi tagada. Arvestades, et 35% perearstidest on üle 65-aastased, tuleb lähiaastatel leida lahendused, mis võimaldavad vajaduse korral teenindada suuremaid nimistuid või korraldada perearstiabi senisest paindlikumalt. </w:t>
            </w:r>
          </w:p>
          <w:p w14:paraId="35CECD3E" w14:textId="77777777" w:rsidR="00023D22" w:rsidRDefault="00023D2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23D22">
              <w:rPr>
                <w:rFonts w:ascii="Times New Roman" w:eastAsia="Times New Roman" w:hAnsi="Times New Roman" w:cs="Times New Roman"/>
                <w:sz w:val="24"/>
                <w:szCs w:val="24"/>
              </w:rPr>
              <w:t xml:space="preserve">Operatiivne rakenduspraktika peaks jääma paindlikult kujundatavaks määruse, metoodika või avaliku tööjuhendi tasemele. </w:t>
            </w:r>
          </w:p>
          <w:p w14:paraId="2281BF8E" w14:textId="77777777" w:rsidR="00F77BA4" w:rsidRDefault="00023D2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23D22">
              <w:rPr>
                <w:rFonts w:ascii="Times New Roman" w:eastAsia="Times New Roman" w:hAnsi="Times New Roman" w:cs="Times New Roman"/>
                <w:sz w:val="24"/>
                <w:szCs w:val="24"/>
              </w:rPr>
              <w:t xml:space="preserve">Nimistu piirsuuruste kuvamine peab toimuma registri omaniku juures, tehes infosüsteemis tähtaegselt vajaminevad täiendused. </w:t>
            </w:r>
          </w:p>
          <w:p w14:paraId="283A7C9A" w14:textId="67965A6F" w:rsidR="004A4BB6" w:rsidRDefault="00F77BA4"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23D22" w:rsidRPr="00023D22">
              <w:rPr>
                <w:rFonts w:ascii="Times New Roman" w:eastAsia="Times New Roman" w:hAnsi="Times New Roman" w:cs="Times New Roman"/>
                <w:sz w:val="24"/>
                <w:szCs w:val="24"/>
              </w:rPr>
              <w:t>Seletuskiri ei kirjelda, millisel ajahetkel on nimistu suurus perearsti keeldumisõiguse hindamise aluseks, kuidas see fikseeritakse ning kuidas toimub hilisem kontroll, kas isiku nimistusse registreerimisest keeldumine oli põhjendatud.</w:t>
            </w:r>
          </w:p>
        </w:tc>
        <w:tc>
          <w:tcPr>
            <w:tcW w:w="7447" w:type="dxa"/>
          </w:tcPr>
          <w:p w14:paraId="466FB101" w14:textId="39A86769" w:rsidR="00714842" w:rsidRDefault="3F2A81BE" w:rsidP="0025369E">
            <w:pPr>
              <w:jc w:val="both"/>
            </w:pPr>
            <w:r w:rsidRPr="389B0561">
              <w:rPr>
                <w:rFonts w:ascii="Times New Roman" w:eastAsia="Times New Roman" w:hAnsi="Times New Roman" w:cs="Times New Roman"/>
                <w:sz w:val="24"/>
                <w:szCs w:val="24"/>
              </w:rPr>
              <w:t>Selgitame</w:t>
            </w:r>
          </w:p>
          <w:p w14:paraId="26955D55" w14:textId="77777777"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Perearsti nimistusse registreerimisest keeldumise regulatsiooni rakendamisel arvestatakse jätkuvalt piirkondlikke vajadusi ning perearstiabi korraldamisega seotud asjaolusid. Nimistute korraldus on ka edaspidi Tervisekassa pädevuses. Lisaks luuakse riski- ja kriisipiirkondade regulatsiooniga võimalused piirkondlike erisuste arvestamiseks ning perearstiabi järjepidevuse tagamiseks.</w:t>
            </w:r>
          </w:p>
          <w:p w14:paraId="4B2A3B27" w14:textId="77777777"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Operatiivse rakenduspraktika täpsem kujundamine toimub vajaduse korral madalama taseme rakendusdokumentides. Samas peame vajalikuks, et seadusest tulenevad põhimõtted ja õigused oleksid selgelt sätestatud seaduse tasandil.</w:t>
            </w:r>
          </w:p>
          <w:p w14:paraId="2E2C26A1" w14:textId="6051EE58"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 xml:space="preserve">Nõustume, et pikemas perspektiivis peab nimistute piirsuuruste ja suuruste info olema avalikult ning ajakohaselt kättesaadav </w:t>
            </w:r>
            <w:r w:rsidR="000237B0">
              <w:rPr>
                <w:rFonts w:ascii="Times New Roman" w:eastAsia="Times New Roman" w:hAnsi="Times New Roman" w:cs="Times New Roman"/>
                <w:sz w:val="24"/>
                <w:szCs w:val="24"/>
              </w:rPr>
              <w:t>tervishoiukorralduse in</w:t>
            </w:r>
            <w:r w:rsidR="009C3458">
              <w:rPr>
                <w:rFonts w:ascii="Times New Roman" w:eastAsia="Times New Roman" w:hAnsi="Times New Roman" w:cs="Times New Roman"/>
                <w:sz w:val="24"/>
                <w:szCs w:val="24"/>
              </w:rPr>
              <w:t>fosüsteemi</w:t>
            </w:r>
            <w:r w:rsidRPr="00FB21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MEDRE) </w:t>
            </w:r>
            <w:r w:rsidRPr="00FB2159">
              <w:rPr>
                <w:rFonts w:ascii="Times New Roman" w:eastAsia="Times New Roman" w:hAnsi="Times New Roman" w:cs="Times New Roman"/>
                <w:sz w:val="24"/>
                <w:szCs w:val="24"/>
              </w:rPr>
              <w:t>omaniku juures. Vastavate arenduste ettevalmistamine on käimas.</w:t>
            </w:r>
          </w:p>
          <w:p w14:paraId="6ED2B1B2" w14:textId="7776F99B"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Nimistu suuruse määramisel lähtutakse MEDRE-s kuvatavast nimistu suurusest kuu alguse seisuga. Kuu jooksul see näitaja</w:t>
            </w:r>
            <w:r>
              <w:rPr>
                <w:rFonts w:ascii="Times New Roman" w:eastAsia="Times New Roman" w:hAnsi="Times New Roman" w:cs="Times New Roman"/>
                <w:sz w:val="24"/>
                <w:szCs w:val="24"/>
              </w:rPr>
              <w:t xml:space="preserve"> registris</w:t>
            </w:r>
            <w:r w:rsidRPr="00FB2159">
              <w:rPr>
                <w:rFonts w:ascii="Times New Roman" w:eastAsia="Times New Roman" w:hAnsi="Times New Roman" w:cs="Times New Roman"/>
                <w:sz w:val="24"/>
                <w:szCs w:val="24"/>
              </w:rPr>
              <w:t xml:space="preserve"> ei muutu ning see on aluseks ka perearsti keeldumisõiguse rakendamisel. Sama põhimõtet kasutatakse juba praegu muu hulgas Tervisekassa poolt isikute nimistusse määramisel, mistõttu on tegemist väljakujunenud ja praktikas rakendatava lahendusega.</w:t>
            </w:r>
          </w:p>
          <w:p w14:paraId="66CAF7C2" w14:textId="3FCFEBC9" w:rsidR="00714842" w:rsidRDefault="00714842" w:rsidP="0025369E">
            <w:pPr>
              <w:jc w:val="both"/>
            </w:pPr>
          </w:p>
        </w:tc>
      </w:tr>
      <w:tr w:rsidR="0034157F" w14:paraId="344E22DF" w14:textId="77777777" w:rsidTr="2283B2C7">
        <w:tc>
          <w:tcPr>
            <w:tcW w:w="7432" w:type="dxa"/>
          </w:tcPr>
          <w:p w14:paraId="0DA52297" w14:textId="0CA64CD1" w:rsidR="0034157F" w:rsidRPr="007F701A" w:rsidRDefault="003E4791" w:rsidP="0025369E">
            <w:pPr>
              <w:jc w:val="both"/>
              <w:rPr>
                <w:rFonts w:ascii="Times New Roman" w:hAnsi="Times New Roman" w:cs="Times New Roman"/>
                <w:sz w:val="24"/>
                <w:szCs w:val="24"/>
              </w:rPr>
            </w:pPr>
            <w:r w:rsidRPr="003E4791">
              <w:rPr>
                <w:rFonts w:ascii="Times New Roman" w:hAnsi="Times New Roman" w:cs="Times New Roman"/>
                <w:sz w:val="24"/>
                <w:szCs w:val="24"/>
              </w:rPr>
              <w:lastRenderedPageBreak/>
              <w:t>Eelnõusse on lisandunud säte, millega piiratakse perearsti võimalust senise teenuse osutaja juurest lahkumisel. Tervisekassa on praktikas täheldanud, et vahel jääb patsientide 6-kuuline teavitamistähtaeg liiga pikaks ning on perearsti ettevõtlusvabaduse mõttes liialt piirav. Seda eriti juhtudel, kus senised partnerlussuhted on läinud liiga konfliktseks ja ühine ettevõtlus ei toimi enam mõistlikult. Seletuskiri ei täpsusta, kes ja mis metoodikal on hinnanud antud tähtaja mõistlikuks, kuigi selline väide on esitatud. Seetõttu palume kaaluda eelnõu § 1 punktiga 10 (TTKS § 15</w:t>
            </w:r>
            <w:r w:rsidRPr="389B0561">
              <w:rPr>
                <w:rFonts w:ascii="Times New Roman" w:hAnsi="Times New Roman" w:cs="Times New Roman"/>
                <w:sz w:val="24"/>
                <w:szCs w:val="24"/>
                <w:vertAlign w:val="superscript"/>
              </w:rPr>
              <w:t>1</w:t>
            </w:r>
            <w:r w:rsidRPr="003E4791">
              <w:rPr>
                <w:rFonts w:ascii="Times New Roman" w:hAnsi="Times New Roman" w:cs="Times New Roman"/>
                <w:sz w:val="24"/>
                <w:szCs w:val="24"/>
              </w:rPr>
              <w:t xml:space="preserve"> lg 4) ning kehtiva TTKS § 9</w:t>
            </w:r>
            <w:r w:rsidRPr="389B0561">
              <w:rPr>
                <w:rFonts w:ascii="Times New Roman" w:hAnsi="Times New Roman" w:cs="Times New Roman"/>
                <w:sz w:val="24"/>
                <w:szCs w:val="24"/>
                <w:vertAlign w:val="superscript"/>
              </w:rPr>
              <w:t>1</w:t>
            </w:r>
            <w:r w:rsidRPr="003E4791">
              <w:rPr>
                <w:rFonts w:ascii="Times New Roman" w:hAnsi="Times New Roman" w:cs="Times New Roman"/>
                <w:sz w:val="24"/>
                <w:szCs w:val="24"/>
              </w:rPr>
              <w:t xml:space="preserve"> lg 3 muutmist viisil, kus etteteatamistähtaeg on veidi lühem, näiteks kolm kuud. Kolmekuuline tähtaeg jätab aega töötajate vahetuseks, ruumide leidmiseks, aga on tänases infoühiskonnas ka piisav aeg patsientide kohanemiseks. Tervisekassa märgib täiendavalt, et eelnõu seletuskirja mõjuanalüüs käsitleb</w:t>
            </w:r>
            <w:r w:rsidR="00C65C3D">
              <w:rPr>
                <w:rFonts w:ascii="Times New Roman" w:hAnsi="Times New Roman" w:cs="Times New Roman"/>
                <w:sz w:val="24"/>
                <w:szCs w:val="24"/>
              </w:rPr>
              <w:t xml:space="preserve"> </w:t>
            </w:r>
            <w:r w:rsidR="00C65C3D" w:rsidRPr="00C65C3D">
              <w:rPr>
                <w:rFonts w:ascii="Times New Roman" w:hAnsi="Times New Roman" w:cs="Times New Roman"/>
                <w:sz w:val="24"/>
                <w:szCs w:val="24"/>
              </w:rPr>
              <w:t>etteteatamistähtaja osas üksnes mõju tervisekeskusele, kuid mitte perearstiabi osutaja suhtes, kes ei ole tervisekeskus.</w:t>
            </w:r>
          </w:p>
        </w:tc>
        <w:tc>
          <w:tcPr>
            <w:tcW w:w="7447" w:type="dxa"/>
          </w:tcPr>
          <w:p w14:paraId="5AFEA823" w14:textId="77777777" w:rsidR="009C3458" w:rsidRDefault="00D00F53" w:rsidP="009C3458">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Selgitame</w:t>
            </w:r>
          </w:p>
          <w:p w14:paraId="4646B7BA" w14:textId="105654C4" w:rsidR="00D00F53" w:rsidRPr="00D00F53" w:rsidRDefault="00D00F53" w:rsidP="009C3458">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E</w:t>
            </w:r>
            <w:r w:rsidRPr="00D00F53">
              <w:rPr>
                <w:rFonts w:ascii="Times New Roman" w:hAnsi="Times New Roman" w:cs="Times New Roman"/>
                <w:sz w:val="24"/>
                <w:szCs w:val="24"/>
              </w:rPr>
              <w:t>elnõuga ei muudeta senist kuuekuulist patsientide etteteatamistähtaega. Sellest tulenevalt peame põhjendatuks, et samaväärne etteteatamisaeg kehtiks ka tervishoiuteenuse osutaja</w:t>
            </w:r>
            <w:r>
              <w:rPr>
                <w:rFonts w:ascii="Times New Roman" w:hAnsi="Times New Roman" w:cs="Times New Roman"/>
                <w:sz w:val="24"/>
                <w:szCs w:val="24"/>
              </w:rPr>
              <w:t>le</w:t>
            </w:r>
            <w:r w:rsidRPr="00D00F53">
              <w:rPr>
                <w:rFonts w:ascii="Times New Roman" w:hAnsi="Times New Roman" w:cs="Times New Roman"/>
                <w:sz w:val="24"/>
                <w:szCs w:val="24"/>
              </w:rPr>
              <w:t xml:space="preserve"> teavitamisel.</w:t>
            </w:r>
          </w:p>
          <w:p w14:paraId="22033F33" w14:textId="38119E8E" w:rsidR="00D00F53" w:rsidRPr="00D00F53" w:rsidRDefault="00D00F53" w:rsidP="00D00F53">
            <w:pPr>
              <w:shd w:val="clear" w:color="auto" w:fill="FFFFFF" w:themeFill="background1"/>
              <w:spacing w:before="100" w:beforeAutospacing="1" w:after="100" w:afterAutospacing="1"/>
              <w:jc w:val="both"/>
              <w:rPr>
                <w:rFonts w:ascii="Times New Roman" w:hAnsi="Times New Roman" w:cs="Times New Roman"/>
                <w:sz w:val="24"/>
                <w:szCs w:val="24"/>
              </w:rPr>
            </w:pPr>
            <w:r w:rsidRPr="00D00F53">
              <w:rPr>
                <w:rFonts w:ascii="Times New Roman" w:hAnsi="Times New Roman" w:cs="Times New Roman"/>
                <w:sz w:val="24"/>
                <w:szCs w:val="24"/>
              </w:rPr>
              <w:t xml:space="preserve">Etteteatamistähtaja eesmärk on tagada perearstiabi järjepidevus ning anda piisav aeg vajalike ümberkorralduste tegemiseks nii patsientidele, tervishoiuteenuse osutajale kui ka teistele asjaomastele osapooltele. </w:t>
            </w:r>
          </w:p>
          <w:p w14:paraId="132CAF4F" w14:textId="50D31E73" w:rsidR="00B045F7" w:rsidRPr="009721DD" w:rsidRDefault="00D00F53" w:rsidP="389B0561">
            <w:pPr>
              <w:shd w:val="clear" w:color="auto" w:fill="FFFFFF" w:themeFill="background1"/>
              <w:spacing w:before="100" w:beforeAutospacing="1" w:after="100" w:afterAutospacing="1"/>
              <w:jc w:val="both"/>
              <w:rPr>
                <w:rFonts w:ascii="Times New Roman" w:hAnsi="Times New Roman" w:cs="Times New Roman"/>
                <w:sz w:val="24"/>
                <w:szCs w:val="24"/>
              </w:rPr>
            </w:pPr>
            <w:r w:rsidRPr="00D00F53">
              <w:rPr>
                <w:rFonts w:ascii="Times New Roman" w:hAnsi="Times New Roman" w:cs="Times New Roman"/>
                <w:sz w:val="24"/>
                <w:szCs w:val="24"/>
              </w:rPr>
              <w:t xml:space="preserve">Mõju hindamisel on lähtutud vajadusest </w:t>
            </w:r>
            <w:r w:rsidR="006933D3">
              <w:rPr>
                <w:rFonts w:ascii="Times New Roman" w:hAnsi="Times New Roman" w:cs="Times New Roman"/>
                <w:sz w:val="24"/>
                <w:szCs w:val="24"/>
              </w:rPr>
              <w:t xml:space="preserve">luua suuremad eeldused </w:t>
            </w:r>
            <w:r w:rsidR="00634368">
              <w:rPr>
                <w:rFonts w:ascii="Times New Roman" w:hAnsi="Times New Roman" w:cs="Times New Roman"/>
                <w:sz w:val="24"/>
                <w:szCs w:val="24"/>
              </w:rPr>
              <w:t xml:space="preserve">perearstiabikeskuste majandusliku </w:t>
            </w:r>
            <w:r w:rsidR="00647F10">
              <w:rPr>
                <w:rFonts w:ascii="Times New Roman" w:hAnsi="Times New Roman" w:cs="Times New Roman"/>
                <w:sz w:val="24"/>
                <w:szCs w:val="24"/>
              </w:rPr>
              <w:t>jätkusuutlikkuse tagamiseks</w:t>
            </w:r>
            <w:r w:rsidRPr="00D00F53">
              <w:rPr>
                <w:rFonts w:ascii="Times New Roman" w:hAnsi="Times New Roman" w:cs="Times New Roman"/>
                <w:sz w:val="24"/>
                <w:szCs w:val="24"/>
              </w:rPr>
              <w:t xml:space="preserve"> ning patsientide huvi saada katkematut ja kättesaadavat perearstiabi. Kuivõrd kuuekuuline teavitamistähtaeg patsientide suhtes jääb </w:t>
            </w:r>
            <w:r w:rsidR="00B17E15">
              <w:rPr>
                <w:rFonts w:ascii="Times New Roman" w:hAnsi="Times New Roman" w:cs="Times New Roman"/>
                <w:sz w:val="24"/>
                <w:szCs w:val="24"/>
              </w:rPr>
              <w:t xml:space="preserve">TTKS-s </w:t>
            </w:r>
            <w:r w:rsidRPr="00D00F53">
              <w:rPr>
                <w:rFonts w:ascii="Times New Roman" w:hAnsi="Times New Roman" w:cs="Times New Roman"/>
                <w:sz w:val="24"/>
                <w:szCs w:val="24"/>
              </w:rPr>
              <w:t>kehtima, on põhjendatud säilitada</w:t>
            </w:r>
            <w:r w:rsidR="009F6509">
              <w:rPr>
                <w:rFonts w:ascii="Times New Roman" w:hAnsi="Times New Roman" w:cs="Times New Roman"/>
                <w:sz w:val="24"/>
                <w:szCs w:val="24"/>
              </w:rPr>
              <w:t xml:space="preserve"> ka</w:t>
            </w:r>
            <w:r w:rsidRPr="00D00F53">
              <w:rPr>
                <w:rFonts w:ascii="Times New Roman" w:hAnsi="Times New Roman" w:cs="Times New Roman"/>
                <w:sz w:val="24"/>
                <w:szCs w:val="24"/>
              </w:rPr>
              <w:t xml:space="preserve"> </w:t>
            </w:r>
            <w:r w:rsidR="009F6509" w:rsidRPr="00D00F53">
              <w:rPr>
                <w:rFonts w:ascii="Times New Roman" w:hAnsi="Times New Roman" w:cs="Times New Roman"/>
                <w:sz w:val="24"/>
                <w:szCs w:val="24"/>
              </w:rPr>
              <w:t xml:space="preserve">samaväärne </w:t>
            </w:r>
            <w:r w:rsidR="00440039" w:rsidRPr="00D00F53">
              <w:rPr>
                <w:rFonts w:ascii="Times New Roman" w:hAnsi="Times New Roman" w:cs="Times New Roman"/>
                <w:sz w:val="24"/>
                <w:szCs w:val="24"/>
              </w:rPr>
              <w:t>tervishoiuteenuse osutaja</w:t>
            </w:r>
            <w:r w:rsidR="00440039">
              <w:rPr>
                <w:rFonts w:ascii="Times New Roman" w:hAnsi="Times New Roman" w:cs="Times New Roman"/>
                <w:sz w:val="24"/>
                <w:szCs w:val="24"/>
              </w:rPr>
              <w:t>le</w:t>
            </w:r>
            <w:r w:rsidR="00440039" w:rsidRPr="00D00F53">
              <w:rPr>
                <w:rFonts w:ascii="Times New Roman" w:hAnsi="Times New Roman" w:cs="Times New Roman"/>
                <w:sz w:val="24"/>
                <w:szCs w:val="24"/>
              </w:rPr>
              <w:t xml:space="preserve"> </w:t>
            </w:r>
            <w:r w:rsidR="009F6509" w:rsidRPr="00D00F53">
              <w:rPr>
                <w:rFonts w:ascii="Times New Roman" w:hAnsi="Times New Roman" w:cs="Times New Roman"/>
                <w:sz w:val="24"/>
                <w:szCs w:val="24"/>
              </w:rPr>
              <w:t>etteteatamisaeg</w:t>
            </w:r>
            <w:r w:rsidR="00440039">
              <w:rPr>
                <w:rFonts w:ascii="Times New Roman" w:hAnsi="Times New Roman" w:cs="Times New Roman"/>
                <w:sz w:val="24"/>
                <w:szCs w:val="24"/>
              </w:rPr>
              <w:t xml:space="preserve"> kui nimistuga perearst soovib TTO juurest nimistuga lahkuda</w:t>
            </w:r>
            <w:r w:rsidR="00DA7606">
              <w:rPr>
                <w:rFonts w:ascii="Times New Roman" w:hAnsi="Times New Roman" w:cs="Times New Roman"/>
                <w:sz w:val="24"/>
                <w:szCs w:val="24"/>
              </w:rPr>
              <w:t>, et TTO  saaks teha vajalikud ümberkorraldused.</w:t>
            </w:r>
            <w:r w:rsidR="003717A4">
              <w:rPr>
                <w:rFonts w:ascii="Times New Roman" w:hAnsi="Times New Roman" w:cs="Times New Roman"/>
                <w:sz w:val="24"/>
                <w:szCs w:val="24"/>
              </w:rPr>
              <w:t xml:space="preserve"> Samas võivad osapooled</w:t>
            </w:r>
            <w:r w:rsidR="00C85B85">
              <w:rPr>
                <w:rFonts w:ascii="Times New Roman" w:hAnsi="Times New Roman" w:cs="Times New Roman"/>
                <w:sz w:val="24"/>
                <w:szCs w:val="24"/>
              </w:rPr>
              <w:t xml:space="preserve"> kokku leppida lühemas ajas.</w:t>
            </w:r>
          </w:p>
        </w:tc>
      </w:tr>
      <w:tr w:rsidR="002612F5" w14:paraId="512E68A3" w14:textId="77777777" w:rsidTr="2283B2C7">
        <w:tc>
          <w:tcPr>
            <w:tcW w:w="7432" w:type="dxa"/>
          </w:tcPr>
          <w:p w14:paraId="2B7A4869" w14:textId="56709DC4" w:rsidR="002612F5" w:rsidRPr="007F701A" w:rsidRDefault="002A49C7" w:rsidP="0025369E">
            <w:pPr>
              <w:jc w:val="both"/>
              <w:rPr>
                <w:rFonts w:ascii="Times New Roman" w:hAnsi="Times New Roman" w:cs="Times New Roman"/>
                <w:sz w:val="24"/>
                <w:szCs w:val="24"/>
              </w:rPr>
            </w:pPr>
            <w:r w:rsidRPr="002A49C7">
              <w:rPr>
                <w:rFonts w:ascii="Times New Roman" w:hAnsi="Times New Roman" w:cs="Times New Roman"/>
                <w:sz w:val="24"/>
                <w:szCs w:val="24"/>
              </w:rPr>
              <w:t xml:space="preserve">Lisaks palume selgitada § 9¹ lg 4 ja § 15¹ lg 4 teavitamiskohustuste omavahelist suhet. Mis erinevat eesmärki täidavad perearsti kohustus teavitada perearstiabi osutajat ning kohustus teavitada tervisekeskust? </w:t>
            </w:r>
            <w:r w:rsidRPr="001D7382">
              <w:rPr>
                <w:rFonts w:ascii="Times New Roman" w:hAnsi="Times New Roman" w:cs="Times New Roman"/>
                <w:sz w:val="24"/>
                <w:szCs w:val="24"/>
              </w:rPr>
              <w:t>Samuti palume täpsustada, kas tervisekeskuse teavitamise kohustus kohaldub kõigil juhtudel või on see eelkõige mõeldud olukorraks, kus tervisekeskuses tegutseb mitu perearstiabi osutajat.</w:t>
            </w:r>
          </w:p>
        </w:tc>
        <w:tc>
          <w:tcPr>
            <w:tcW w:w="7447" w:type="dxa"/>
          </w:tcPr>
          <w:p w14:paraId="1F92D413" w14:textId="30669888" w:rsidR="002612F5" w:rsidRDefault="00FB61D3"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Arvestame</w:t>
            </w:r>
          </w:p>
          <w:p w14:paraId="2A2E55EA" w14:textId="39986E9F" w:rsidR="001D6F04" w:rsidRDefault="00F42FA3"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TTKS-i eelnõusse jääb ainult §9 lg 4 täiendus</w:t>
            </w:r>
            <w:r w:rsidR="008B6862">
              <w:rPr>
                <w:rFonts w:ascii="Times New Roman" w:eastAsia="Times New Roman" w:hAnsi="Times New Roman" w:cs="Times New Roman"/>
                <w:sz w:val="24"/>
                <w:szCs w:val="24"/>
              </w:rPr>
              <w:t xml:space="preserve"> teavitamiskohustuse osas</w:t>
            </w:r>
            <w:r>
              <w:rPr>
                <w:rFonts w:ascii="Times New Roman" w:eastAsia="Times New Roman" w:hAnsi="Times New Roman" w:cs="Times New Roman"/>
                <w:sz w:val="24"/>
                <w:szCs w:val="24"/>
              </w:rPr>
              <w:t xml:space="preserve">, mis laieneb </w:t>
            </w:r>
            <w:r w:rsidR="00757B30">
              <w:rPr>
                <w:rFonts w:ascii="Times New Roman" w:eastAsia="Times New Roman" w:hAnsi="Times New Roman" w:cs="Times New Roman"/>
                <w:sz w:val="24"/>
                <w:szCs w:val="24"/>
              </w:rPr>
              <w:t xml:space="preserve">ühtlasi </w:t>
            </w:r>
            <w:r w:rsidR="008B6862">
              <w:rPr>
                <w:rFonts w:ascii="Times New Roman" w:eastAsia="Times New Roman" w:hAnsi="Times New Roman" w:cs="Times New Roman"/>
                <w:sz w:val="24"/>
                <w:szCs w:val="24"/>
              </w:rPr>
              <w:t>ka</w:t>
            </w:r>
            <w:r>
              <w:rPr>
                <w:rFonts w:ascii="Times New Roman" w:eastAsia="Times New Roman" w:hAnsi="Times New Roman" w:cs="Times New Roman"/>
                <w:sz w:val="24"/>
                <w:szCs w:val="24"/>
              </w:rPr>
              <w:t xml:space="preserve"> tervisekeskusega seotud </w:t>
            </w:r>
            <w:r w:rsidR="008B6862">
              <w:rPr>
                <w:rFonts w:ascii="Times New Roman" w:eastAsia="Times New Roman" w:hAnsi="Times New Roman" w:cs="Times New Roman"/>
                <w:sz w:val="24"/>
                <w:szCs w:val="24"/>
              </w:rPr>
              <w:t>nimistuga perearstidele.</w:t>
            </w:r>
            <w:r w:rsidR="00757B30">
              <w:rPr>
                <w:rFonts w:ascii="Times New Roman" w:eastAsia="Times New Roman" w:hAnsi="Times New Roman" w:cs="Times New Roman"/>
                <w:sz w:val="24"/>
                <w:szCs w:val="24"/>
              </w:rPr>
              <w:t xml:space="preserve"> Sellest tulenevalt ei ole </w:t>
            </w:r>
            <w:r w:rsidR="005266A0">
              <w:rPr>
                <w:rFonts w:ascii="Times New Roman" w:eastAsia="Times New Roman" w:hAnsi="Times New Roman" w:cs="Times New Roman"/>
                <w:sz w:val="24"/>
                <w:szCs w:val="24"/>
              </w:rPr>
              <w:t>§15</w:t>
            </w:r>
            <w:r w:rsidR="005266A0" w:rsidRPr="005266A0">
              <w:rPr>
                <w:rFonts w:ascii="Times New Roman" w:eastAsia="Times New Roman" w:hAnsi="Times New Roman" w:cs="Times New Roman"/>
                <w:sz w:val="24"/>
                <w:szCs w:val="24"/>
                <w:vertAlign w:val="superscript"/>
              </w:rPr>
              <w:t>1</w:t>
            </w:r>
            <w:r w:rsidR="005266A0">
              <w:rPr>
                <w:rFonts w:ascii="Times New Roman" w:eastAsia="Times New Roman" w:hAnsi="Times New Roman" w:cs="Times New Roman"/>
                <w:sz w:val="24"/>
                <w:szCs w:val="24"/>
              </w:rPr>
              <w:t xml:space="preserve"> lg 4 sätte regulatsioon enam tõesti oluline</w:t>
            </w:r>
            <w:r w:rsidR="00814877">
              <w:rPr>
                <w:rFonts w:ascii="Times New Roman" w:eastAsia="Times New Roman" w:hAnsi="Times New Roman" w:cs="Times New Roman"/>
                <w:sz w:val="24"/>
                <w:szCs w:val="24"/>
              </w:rPr>
              <w:t>.</w:t>
            </w:r>
          </w:p>
          <w:p w14:paraId="0D38A569" w14:textId="52593D4A" w:rsidR="001D7382" w:rsidRDefault="001D738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Täiendatud </w:t>
            </w:r>
            <w:r w:rsidR="00655061">
              <w:rPr>
                <w:rFonts w:ascii="Times New Roman" w:eastAsia="Times New Roman" w:hAnsi="Times New Roman" w:cs="Times New Roman"/>
                <w:sz w:val="24"/>
                <w:szCs w:val="24"/>
              </w:rPr>
              <w:t>eelnõud, et juhul kui nimistu on tervisekeskusega seotud, siis on jätkuvalt teavitamiskohustus.</w:t>
            </w:r>
          </w:p>
        </w:tc>
      </w:tr>
      <w:tr w:rsidR="003E4791" w14:paraId="1EAE71D9" w14:textId="77777777" w:rsidTr="2283B2C7">
        <w:tc>
          <w:tcPr>
            <w:tcW w:w="7432" w:type="dxa"/>
          </w:tcPr>
          <w:p w14:paraId="5A161F1A" w14:textId="728CBC13" w:rsidR="003E4791" w:rsidRPr="007F701A" w:rsidRDefault="00281246" w:rsidP="0025369E">
            <w:pPr>
              <w:jc w:val="both"/>
              <w:rPr>
                <w:rFonts w:ascii="Times New Roman" w:hAnsi="Times New Roman" w:cs="Times New Roman"/>
                <w:sz w:val="24"/>
                <w:szCs w:val="24"/>
              </w:rPr>
            </w:pPr>
            <w:r w:rsidRPr="00281246">
              <w:rPr>
                <w:rFonts w:ascii="Times New Roman" w:hAnsi="Times New Roman" w:cs="Times New Roman"/>
                <w:sz w:val="24"/>
                <w:szCs w:val="24"/>
              </w:rPr>
              <w:t xml:space="preserve">Ühtlasi, kuigi kooskõlastustabeli kohaselt on seletuskirja mõjuanalüüsi täiendatud riski- ja kriisipiirkondade määramise alustega kaasneva koormuse osas Tervisekassale, ei kajastu see mõjuanalüüsis piisavalt. Seletuskirjas on üksnes märgitud, et ametnike töökoormus suureneb peamiselt uue süsteemi rakendamise alguses. Tervisekassa hinnangul ei ole töökoormuse kasv siiski üksnes ajutine. Riski- ja kriisipiirkondade määramine eeldab ka edaspidi andmete analüüsimist ja prognooside koostamist, otsuste põhjendamist ja läbipaistvuse tagamist ning vaiete lahendamist. Kuigi nõukogu täpne juhtimis- ja töökorraldus lepitakse kokku </w:t>
            </w:r>
            <w:r w:rsidRPr="00281246">
              <w:rPr>
                <w:rFonts w:ascii="Times New Roman" w:hAnsi="Times New Roman" w:cs="Times New Roman"/>
                <w:sz w:val="24"/>
                <w:szCs w:val="24"/>
              </w:rPr>
              <w:lastRenderedPageBreak/>
              <w:t>hiljem, näeb eelnõu kavand Tervisekassale ette ülesanded, millega kaasneb püsiv täiendav töökoormus. Seetõttu palume mõjuanalüüsi selles osas täiendada.</w:t>
            </w:r>
          </w:p>
        </w:tc>
        <w:tc>
          <w:tcPr>
            <w:tcW w:w="7447" w:type="dxa"/>
          </w:tcPr>
          <w:p w14:paraId="4AB5CA71" w14:textId="77777777" w:rsidR="003E4791" w:rsidRDefault="00530F7F"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Selgitame</w:t>
            </w:r>
          </w:p>
          <w:p w14:paraId="1E81B872" w14:textId="77777777" w:rsidR="001433F5" w:rsidRPr="001433F5" w:rsidRDefault="001433F5" w:rsidP="001433F5">
            <w:pPr>
              <w:jc w:val="both"/>
              <w:rPr>
                <w:rFonts w:ascii="Times New Roman" w:eastAsia="Times New Roman" w:hAnsi="Times New Roman" w:cs="Times New Roman"/>
                <w:sz w:val="24"/>
                <w:szCs w:val="24"/>
              </w:rPr>
            </w:pPr>
            <w:r w:rsidRPr="001433F5">
              <w:rPr>
                <w:rFonts w:ascii="Times New Roman" w:eastAsia="Times New Roman" w:hAnsi="Times New Roman" w:cs="Times New Roman"/>
                <w:sz w:val="24"/>
                <w:szCs w:val="24"/>
              </w:rPr>
              <w:t>Nõustume, et riski- ja kriisipiirkondade määramisega kaasneb Tervisekassale täiendav töökoormus ka pärast süsteemi esmast rakendamist. Samas tuleb arvestada, et perearstiabi korraldamise ja kättesaadavuse tagamisega seotud analüüsi-, seire- ja planeerimisülesannete maht on kasvamas sõltumata käesolevast eelnõust, tulenevalt perearstiabi süsteemi laiematest väljakutsetest.</w:t>
            </w:r>
          </w:p>
          <w:p w14:paraId="718DB26C" w14:textId="77777777" w:rsidR="001433F5" w:rsidRPr="001433F5" w:rsidRDefault="001433F5" w:rsidP="001433F5">
            <w:pPr>
              <w:jc w:val="both"/>
              <w:rPr>
                <w:rFonts w:ascii="Times New Roman" w:eastAsia="Times New Roman" w:hAnsi="Times New Roman" w:cs="Times New Roman"/>
                <w:sz w:val="24"/>
                <w:szCs w:val="24"/>
              </w:rPr>
            </w:pPr>
            <w:r w:rsidRPr="001433F5">
              <w:rPr>
                <w:rFonts w:ascii="Times New Roman" w:eastAsia="Times New Roman" w:hAnsi="Times New Roman" w:cs="Times New Roman"/>
                <w:sz w:val="24"/>
                <w:szCs w:val="24"/>
              </w:rPr>
              <w:t xml:space="preserve">Riski- ja kriisipiirkondade regulatsioon loob senisest selgema õigusliku raamistiku piirkondlike probleemide hindamiseks ja lahendamiseks. Sellega </w:t>
            </w:r>
            <w:r w:rsidRPr="001433F5">
              <w:rPr>
                <w:rFonts w:ascii="Times New Roman" w:eastAsia="Times New Roman" w:hAnsi="Times New Roman" w:cs="Times New Roman"/>
                <w:sz w:val="24"/>
                <w:szCs w:val="24"/>
              </w:rPr>
              <w:lastRenderedPageBreak/>
              <w:t>seotud tegevused, sh andmete analüüsimine, prognooside koostamine ning otsuste põhjendamine, on käsitatavad osana perearstiabi jätkusuutlikkuse tagamise ülesannetest.</w:t>
            </w:r>
          </w:p>
          <w:p w14:paraId="6402BE3C" w14:textId="77777777" w:rsidR="001433F5" w:rsidRPr="001433F5" w:rsidRDefault="001433F5" w:rsidP="001433F5">
            <w:pPr>
              <w:jc w:val="both"/>
              <w:rPr>
                <w:rFonts w:ascii="Times New Roman" w:eastAsia="Times New Roman" w:hAnsi="Times New Roman" w:cs="Times New Roman"/>
                <w:sz w:val="24"/>
                <w:szCs w:val="24"/>
              </w:rPr>
            </w:pPr>
            <w:r w:rsidRPr="001433F5">
              <w:rPr>
                <w:rFonts w:ascii="Times New Roman" w:eastAsia="Times New Roman" w:hAnsi="Times New Roman" w:cs="Times New Roman"/>
                <w:sz w:val="24"/>
                <w:szCs w:val="24"/>
              </w:rPr>
              <w:t>Seletuskirjas on mõju olemasolu kajastatud ning hinnatud, et suurem töökoormuse kasv kaasneb eeskätt süsteemi rakendamise algfaasis. Püsiva täiendava koormuse täpsem ulatus sõltub tulevasest rakenduspraktikast ning riski- ja kriisipiirkondade tegelikust kujunemisest. Seetõttu ei pea me vajalikuks mõjuanalüüsi selles osas täiendavalt muuta.</w:t>
            </w:r>
          </w:p>
          <w:p w14:paraId="1DB40848" w14:textId="68631482" w:rsidR="00530F7F" w:rsidRDefault="00530F7F" w:rsidP="0025369E">
            <w:pPr>
              <w:jc w:val="both"/>
              <w:rPr>
                <w:rFonts w:ascii="Times New Roman" w:eastAsia="Times New Roman" w:hAnsi="Times New Roman" w:cs="Times New Roman"/>
                <w:sz w:val="24"/>
                <w:szCs w:val="24"/>
              </w:rPr>
            </w:pPr>
          </w:p>
        </w:tc>
      </w:tr>
      <w:tr w:rsidR="002612F5" w14:paraId="62102331" w14:textId="77777777" w:rsidTr="2283B2C7">
        <w:tc>
          <w:tcPr>
            <w:tcW w:w="7432" w:type="dxa"/>
          </w:tcPr>
          <w:p w14:paraId="1F83DC67" w14:textId="2F0AA08F" w:rsidR="002612F5" w:rsidRPr="007F701A" w:rsidRDefault="002612F5" w:rsidP="002612F5">
            <w:pPr>
              <w:jc w:val="center"/>
              <w:rPr>
                <w:rFonts w:ascii="Times New Roman" w:hAnsi="Times New Roman" w:cs="Times New Roman"/>
                <w:sz w:val="24"/>
                <w:szCs w:val="24"/>
              </w:rPr>
            </w:pPr>
            <w:r w:rsidRPr="005B5C1E">
              <w:rPr>
                <w:rFonts w:ascii="Times New Roman" w:hAnsi="Times New Roman" w:cs="Times New Roman"/>
                <w:b/>
                <w:sz w:val="24"/>
                <w:szCs w:val="24"/>
              </w:rPr>
              <w:lastRenderedPageBreak/>
              <w:t>Esitatud märkused või ettepanekud</w:t>
            </w:r>
          </w:p>
        </w:tc>
        <w:tc>
          <w:tcPr>
            <w:tcW w:w="7447" w:type="dxa"/>
          </w:tcPr>
          <w:p w14:paraId="20AB2DFE" w14:textId="45BE4BD7" w:rsidR="002612F5" w:rsidRDefault="002612F5" w:rsidP="002612F5">
            <w:pPr>
              <w:jc w:val="center"/>
              <w:rPr>
                <w:rFonts w:ascii="Times New Roman" w:eastAsia="Times New Roman" w:hAnsi="Times New Roman" w:cs="Times New Roman"/>
                <w:b/>
                <w:bCs/>
                <w:sz w:val="24"/>
                <w:szCs w:val="24"/>
              </w:rPr>
            </w:pPr>
            <w:r w:rsidRPr="005B5C1E">
              <w:rPr>
                <w:rFonts w:ascii="Times New Roman" w:hAnsi="Times New Roman" w:cs="Times New Roman"/>
                <w:b/>
                <w:sz w:val="24"/>
                <w:szCs w:val="24"/>
              </w:rPr>
              <w:t>Sotsiaalministeeriumi seisukoht</w:t>
            </w:r>
          </w:p>
        </w:tc>
      </w:tr>
      <w:tr w:rsidR="002612F5" w14:paraId="1843CC74" w14:textId="77777777" w:rsidTr="2283B2C7">
        <w:tc>
          <w:tcPr>
            <w:tcW w:w="14879" w:type="dxa"/>
            <w:gridSpan w:val="2"/>
          </w:tcPr>
          <w:p w14:paraId="5D156154" w14:textId="0E734DF2" w:rsidR="002612F5" w:rsidRPr="002612F5" w:rsidRDefault="002612F5" w:rsidP="002612F5">
            <w:pPr>
              <w:jc w:val="center"/>
              <w:rPr>
                <w:rFonts w:ascii="Times New Roman" w:hAnsi="Times New Roman" w:cs="Times New Roman"/>
                <w:b/>
                <w:sz w:val="24"/>
                <w:szCs w:val="24"/>
              </w:rPr>
            </w:pPr>
            <w:r w:rsidRPr="002612F5">
              <w:rPr>
                <w:rFonts w:ascii="Times New Roman" w:hAnsi="Times New Roman" w:cs="Times New Roman"/>
                <w:b/>
                <w:bCs/>
                <w:sz w:val="24"/>
                <w:szCs w:val="24"/>
              </w:rPr>
              <w:t>Tervise</w:t>
            </w:r>
            <w:r w:rsidR="00620ED5">
              <w:rPr>
                <w:rFonts w:ascii="Times New Roman" w:hAnsi="Times New Roman" w:cs="Times New Roman"/>
                <w:b/>
                <w:bCs/>
                <w:sz w:val="24"/>
                <w:szCs w:val="24"/>
              </w:rPr>
              <w:t>amet</w:t>
            </w:r>
            <w:r w:rsidR="6476AEAB" w:rsidRPr="389B0561">
              <w:rPr>
                <w:rFonts w:ascii="Times New Roman" w:hAnsi="Times New Roman" w:cs="Times New Roman"/>
                <w:b/>
                <w:bCs/>
                <w:sz w:val="24"/>
                <w:szCs w:val="24"/>
              </w:rPr>
              <w:t xml:space="preserve"> </w:t>
            </w:r>
          </w:p>
        </w:tc>
      </w:tr>
      <w:tr w:rsidR="002612F5" w14:paraId="53F2BC6C" w14:textId="77777777" w:rsidTr="2283B2C7">
        <w:tc>
          <w:tcPr>
            <w:tcW w:w="7432" w:type="dxa"/>
          </w:tcPr>
          <w:p w14:paraId="2DA5BA87" w14:textId="6AD700DF" w:rsidR="002612F5" w:rsidRPr="002612F5" w:rsidRDefault="009A5BC2" w:rsidP="002612F5">
            <w:pPr>
              <w:jc w:val="both"/>
              <w:rPr>
                <w:rFonts w:ascii="Times New Roman" w:hAnsi="Times New Roman" w:cs="Times New Roman"/>
                <w:sz w:val="24"/>
                <w:szCs w:val="24"/>
              </w:rPr>
            </w:pPr>
            <w:r w:rsidRPr="009A5BC2">
              <w:rPr>
                <w:rFonts w:ascii="Times New Roman" w:hAnsi="Times New Roman" w:cs="Times New Roman"/>
                <w:sz w:val="24"/>
                <w:szCs w:val="24"/>
              </w:rPr>
              <w:t>Saame aru eelnõus kavandatud TTKS § 9</w:t>
            </w:r>
            <w:r w:rsidRPr="009A5BC2">
              <w:rPr>
                <w:rFonts w:ascii="Times New Roman" w:hAnsi="Times New Roman" w:cs="Times New Roman"/>
                <w:sz w:val="24"/>
                <w:szCs w:val="24"/>
                <w:vertAlign w:val="superscript"/>
              </w:rPr>
              <w:t>1</w:t>
            </w:r>
            <w:r w:rsidRPr="009A5BC2">
              <w:rPr>
                <w:rFonts w:ascii="Times New Roman" w:hAnsi="Times New Roman" w:cs="Times New Roman"/>
                <w:sz w:val="24"/>
                <w:szCs w:val="24"/>
              </w:rPr>
              <w:t xml:space="preserve"> lg 4 ja § 15</w:t>
            </w:r>
            <w:r w:rsidRPr="009A5BC2">
              <w:rPr>
                <w:rFonts w:ascii="Times New Roman" w:hAnsi="Times New Roman" w:cs="Times New Roman"/>
                <w:sz w:val="24"/>
                <w:szCs w:val="24"/>
                <w:vertAlign w:val="superscript"/>
              </w:rPr>
              <w:t>1</w:t>
            </w:r>
            <w:r w:rsidRPr="009A5BC2">
              <w:rPr>
                <w:rFonts w:ascii="Times New Roman" w:hAnsi="Times New Roman" w:cs="Times New Roman"/>
                <w:sz w:val="24"/>
                <w:szCs w:val="24"/>
              </w:rPr>
              <w:t xml:space="preserve"> lg 4 muudatuste vajalikkusest. Samas märgime, et nimetatud sätted reguleerivad sisuliselt perearsti ning perearstiabi osutaja või tervisekeskuse vahelist eraõiguslikku suhet, mille täitmise üle ei ole Terviseametil võimalik ega otstarbekas riiklikku järelevalvet teostada. Seetõttu teeb Terviseamet ettepaneku välistada TTKS § 9¹ lg 4 ja § 15¹ lg 4 täitmise üle riikliku järelevalve teostamise Terviseameti poolt.</w:t>
            </w:r>
          </w:p>
        </w:tc>
        <w:tc>
          <w:tcPr>
            <w:tcW w:w="7447" w:type="dxa"/>
          </w:tcPr>
          <w:p w14:paraId="4E8A1B7E" w14:textId="2E124CA3" w:rsidR="002612F5" w:rsidRPr="00B223D7" w:rsidRDefault="5604499B" w:rsidP="002612F5">
            <w:pPr>
              <w:jc w:val="both"/>
              <w:rPr>
                <w:rFonts w:ascii="Times New Roman" w:eastAsia="Times New Roman" w:hAnsi="Times New Roman" w:cs="Times New Roman"/>
                <w:sz w:val="24"/>
                <w:szCs w:val="24"/>
              </w:rPr>
            </w:pPr>
            <w:r w:rsidRPr="00B223D7">
              <w:rPr>
                <w:rFonts w:ascii="Times New Roman" w:eastAsia="Times New Roman" w:hAnsi="Times New Roman" w:cs="Times New Roman"/>
                <w:sz w:val="24"/>
                <w:szCs w:val="24"/>
              </w:rPr>
              <w:t>Selgitame</w:t>
            </w:r>
          </w:p>
          <w:p w14:paraId="2B30DD55" w14:textId="138762AF" w:rsidR="00B223D7" w:rsidRPr="00B223D7" w:rsidRDefault="00B223D7" w:rsidP="00B223D7">
            <w:pPr>
              <w:jc w:val="both"/>
              <w:rPr>
                <w:rFonts w:ascii="Times New Roman" w:hAnsi="Times New Roman" w:cs="Times New Roman"/>
                <w:sz w:val="24"/>
                <w:szCs w:val="24"/>
              </w:rPr>
            </w:pPr>
            <w:r w:rsidRPr="00B223D7">
              <w:rPr>
                <w:rFonts w:ascii="Times New Roman" w:hAnsi="Times New Roman" w:cs="Times New Roman"/>
                <w:sz w:val="24"/>
                <w:szCs w:val="24"/>
              </w:rPr>
              <w:t>Eelnõuga ei muudeta Terviseameti riikliku järelevalve pädevust ega järelevalve teostamise üldisi aluseid. Kuigi TTKS § 9¹ lg 4 puuduta</w:t>
            </w:r>
            <w:r w:rsidR="006C4F82">
              <w:rPr>
                <w:rFonts w:ascii="Times New Roman" w:hAnsi="Times New Roman" w:cs="Times New Roman"/>
                <w:sz w:val="24"/>
                <w:szCs w:val="24"/>
              </w:rPr>
              <w:t>b</w:t>
            </w:r>
            <w:r w:rsidRPr="00B223D7">
              <w:rPr>
                <w:rFonts w:ascii="Times New Roman" w:hAnsi="Times New Roman" w:cs="Times New Roman"/>
                <w:sz w:val="24"/>
                <w:szCs w:val="24"/>
              </w:rPr>
              <w:t xml:space="preserve"> perearsti ning tervishoiuteenuse osutaja vahelisi suhteid, on tegemist seadusest tulenevate nõuetega, mille täitmise üle järelevalve korraldamine ja metoodika kujundamine kuulub Terviseameti pädevusse.</w:t>
            </w:r>
          </w:p>
          <w:p w14:paraId="30850758" w14:textId="0CA7CD70" w:rsidR="00B223D7" w:rsidRPr="00B223D7" w:rsidRDefault="00B223D7" w:rsidP="00B223D7">
            <w:pPr>
              <w:jc w:val="both"/>
              <w:rPr>
                <w:rFonts w:ascii="Times New Roman" w:hAnsi="Times New Roman" w:cs="Times New Roman"/>
                <w:sz w:val="24"/>
                <w:szCs w:val="24"/>
              </w:rPr>
            </w:pPr>
            <w:r w:rsidRPr="00B223D7">
              <w:rPr>
                <w:rFonts w:ascii="Times New Roman" w:hAnsi="Times New Roman" w:cs="Times New Roman"/>
                <w:sz w:val="24"/>
                <w:szCs w:val="24"/>
              </w:rPr>
              <w:t>Järelevalve teostamise viisid, ulatus ja prioriteedid on Terviseameti otsustada, mistõttu ei pea ministeerium vajalikuks sätestada TTKS §-s 60 nimetatud sätete suhtes erisusi või välistada nende üle riikliku järelevalve teostamist.</w:t>
            </w:r>
          </w:p>
          <w:p w14:paraId="317E4DC6" w14:textId="2994EED5" w:rsidR="002612F5" w:rsidRPr="00B223D7" w:rsidRDefault="002612F5" w:rsidP="389B0561">
            <w:pPr>
              <w:jc w:val="both"/>
              <w:rPr>
                <w:rFonts w:ascii="Times New Roman" w:eastAsia="Times New Roman" w:hAnsi="Times New Roman" w:cs="Times New Roman"/>
                <w:sz w:val="24"/>
                <w:szCs w:val="24"/>
              </w:rPr>
            </w:pPr>
          </w:p>
          <w:p w14:paraId="49F19520" w14:textId="7F5F9593" w:rsidR="002612F5" w:rsidRPr="00B223D7" w:rsidRDefault="002612F5" w:rsidP="002612F5">
            <w:pPr>
              <w:jc w:val="both"/>
              <w:rPr>
                <w:rFonts w:ascii="Times New Roman" w:eastAsia="Times New Roman" w:hAnsi="Times New Roman" w:cs="Times New Roman"/>
                <w:sz w:val="24"/>
                <w:szCs w:val="24"/>
              </w:rPr>
            </w:pPr>
          </w:p>
        </w:tc>
      </w:tr>
      <w:tr w:rsidR="002612F5" w14:paraId="15380FB6" w14:textId="77777777" w:rsidTr="2283B2C7">
        <w:tc>
          <w:tcPr>
            <w:tcW w:w="7432" w:type="dxa"/>
          </w:tcPr>
          <w:p w14:paraId="4AC87699" w14:textId="77777777" w:rsidR="00A06272" w:rsidRPr="00A06272" w:rsidRDefault="00A06272" w:rsidP="00A06272">
            <w:pPr>
              <w:jc w:val="both"/>
              <w:rPr>
                <w:rFonts w:ascii="Times New Roman" w:hAnsi="Times New Roman" w:cs="Times New Roman"/>
                <w:sz w:val="24"/>
                <w:szCs w:val="24"/>
              </w:rPr>
            </w:pPr>
            <w:r w:rsidRPr="00A06272">
              <w:rPr>
                <w:rFonts w:ascii="Times New Roman" w:hAnsi="Times New Roman" w:cs="Times New Roman"/>
                <w:sz w:val="24"/>
                <w:szCs w:val="24"/>
              </w:rPr>
              <w:t>Terviseamet teeb ettepaneku muuta eelnõus kavandatud TTKS § 57 lg 3</w:t>
            </w:r>
            <w:r w:rsidRPr="00A06272">
              <w:rPr>
                <w:rFonts w:ascii="Times New Roman" w:hAnsi="Times New Roman" w:cs="Times New Roman"/>
                <w:sz w:val="24"/>
                <w:szCs w:val="24"/>
                <w:vertAlign w:val="superscript"/>
              </w:rPr>
              <w:t>4</w:t>
            </w:r>
            <w:r w:rsidRPr="00A06272">
              <w:rPr>
                <w:rFonts w:ascii="Times New Roman" w:hAnsi="Times New Roman" w:cs="Times New Roman"/>
                <w:sz w:val="24"/>
                <w:szCs w:val="24"/>
              </w:rPr>
              <w:t xml:space="preserve"> teist lauset. Praegune sõnastus viitab TTKS §</w:t>
            </w:r>
            <w:r w:rsidRPr="00A06272">
              <w:rPr>
                <w:rFonts w:ascii="Times New Roman" w:hAnsi="Times New Roman" w:cs="Times New Roman"/>
                <w:sz w:val="24"/>
                <w:szCs w:val="24"/>
              </w:rPr>
              <w:noBreakHyphen/>
              <w:t>le 37, mis reguleerib perearstilt nimistu äravõtmist, samas kui § 57 lg 3</w:t>
            </w:r>
            <w:r w:rsidRPr="00A06272">
              <w:rPr>
                <w:rFonts w:ascii="Times New Roman" w:hAnsi="Times New Roman" w:cs="Times New Roman"/>
                <w:sz w:val="24"/>
                <w:szCs w:val="24"/>
                <w:vertAlign w:val="superscript"/>
              </w:rPr>
              <w:t>3</w:t>
            </w:r>
            <w:r w:rsidRPr="00A06272">
              <w:rPr>
                <w:rFonts w:ascii="Times New Roman" w:hAnsi="Times New Roman" w:cs="Times New Roman"/>
                <w:sz w:val="24"/>
                <w:szCs w:val="24"/>
              </w:rPr>
              <w:t xml:space="preserve"> käsitleb olukorda, kus perearsti nimistusse kuuluvaid isikuid teenindab Tervisekassa otsuse alusel perearstiabi osutav äriühing. Seetõttu jääb ebaselgeks, kuidas kohaldub § 37 regulatsioon äriühingu suhtes. Õigusselguse tagamiseks teeme ettepaneku sõnastada säte järgmiselt:</w:t>
            </w:r>
          </w:p>
          <w:p w14:paraId="077A9C95" w14:textId="77777777" w:rsidR="00A06272" w:rsidRPr="00A06272" w:rsidRDefault="00A06272" w:rsidP="00A06272">
            <w:pPr>
              <w:jc w:val="both"/>
              <w:rPr>
                <w:rFonts w:ascii="Times New Roman" w:hAnsi="Times New Roman" w:cs="Times New Roman"/>
                <w:sz w:val="24"/>
                <w:szCs w:val="24"/>
              </w:rPr>
            </w:pPr>
          </w:p>
          <w:p w14:paraId="05D5C12C" w14:textId="77777777" w:rsidR="00A06272" w:rsidRPr="00A06272" w:rsidRDefault="00A06272" w:rsidP="00A06272">
            <w:pPr>
              <w:jc w:val="both"/>
              <w:rPr>
                <w:rFonts w:ascii="Times New Roman" w:hAnsi="Times New Roman" w:cs="Times New Roman"/>
                <w:sz w:val="24"/>
                <w:szCs w:val="24"/>
              </w:rPr>
            </w:pPr>
            <w:r w:rsidRPr="00A06272">
              <w:rPr>
                <w:rFonts w:ascii="Times New Roman" w:hAnsi="Times New Roman" w:cs="Times New Roman"/>
                <w:sz w:val="24"/>
                <w:szCs w:val="24"/>
              </w:rPr>
              <w:lastRenderedPageBreak/>
              <w:t>"</w:t>
            </w:r>
            <w:r w:rsidRPr="00A06272">
              <w:rPr>
                <w:rFonts w:ascii="Times New Roman" w:hAnsi="Times New Roman" w:cs="Times New Roman"/>
                <w:i/>
                <w:iCs/>
                <w:sz w:val="24"/>
                <w:szCs w:val="24"/>
              </w:rPr>
              <w:t>Põhimõtete ja nõuete täitmata jätmise korral võib Tervisekassa tunnistada kehtetuks käesoleva paragrahvi lõike 3³ alusel tehtud otsuse.</w:t>
            </w:r>
            <w:r w:rsidRPr="00A06272">
              <w:rPr>
                <w:rFonts w:ascii="Times New Roman" w:hAnsi="Times New Roman" w:cs="Times New Roman"/>
                <w:sz w:val="24"/>
                <w:szCs w:val="24"/>
              </w:rPr>
              <w:t>"</w:t>
            </w:r>
          </w:p>
          <w:p w14:paraId="74605B92" w14:textId="77777777" w:rsidR="00A06272" w:rsidRPr="00A06272" w:rsidRDefault="00A06272" w:rsidP="00A06272">
            <w:pPr>
              <w:jc w:val="both"/>
              <w:rPr>
                <w:rFonts w:ascii="Times New Roman" w:hAnsi="Times New Roman" w:cs="Times New Roman"/>
                <w:sz w:val="24"/>
                <w:szCs w:val="24"/>
              </w:rPr>
            </w:pPr>
          </w:p>
          <w:p w14:paraId="131B18C2" w14:textId="1C90A5B1" w:rsidR="002612F5" w:rsidRPr="007F701A" w:rsidRDefault="002612F5" w:rsidP="002612F5">
            <w:pPr>
              <w:jc w:val="both"/>
              <w:rPr>
                <w:rFonts w:ascii="Times New Roman" w:hAnsi="Times New Roman" w:cs="Times New Roman"/>
                <w:sz w:val="24"/>
                <w:szCs w:val="24"/>
              </w:rPr>
            </w:pPr>
          </w:p>
        </w:tc>
        <w:tc>
          <w:tcPr>
            <w:tcW w:w="7447" w:type="dxa"/>
          </w:tcPr>
          <w:p w14:paraId="01CA298A" w14:textId="0EA60C6A" w:rsidR="39C45957" w:rsidRDefault="39C45957" w:rsidP="389B0561">
            <w:pPr>
              <w:jc w:val="both"/>
            </w:pPr>
            <w:r w:rsidRPr="389B0561">
              <w:rPr>
                <w:rFonts w:ascii="Times New Roman" w:eastAsia="Times New Roman" w:hAnsi="Times New Roman" w:cs="Times New Roman"/>
                <w:sz w:val="24"/>
                <w:szCs w:val="24"/>
              </w:rPr>
              <w:lastRenderedPageBreak/>
              <w:t>Selgitame</w:t>
            </w:r>
          </w:p>
          <w:p w14:paraId="03D24682" w14:textId="77777777" w:rsidR="00D41C0A" w:rsidRPr="00D41C0A" w:rsidRDefault="00D41C0A" w:rsidP="00D41C0A">
            <w:pPr>
              <w:jc w:val="both"/>
              <w:rPr>
                <w:rFonts w:ascii="Times New Roman" w:eastAsia="Times New Roman" w:hAnsi="Times New Roman" w:cs="Times New Roman"/>
                <w:sz w:val="24"/>
                <w:szCs w:val="24"/>
              </w:rPr>
            </w:pPr>
            <w:r w:rsidRPr="00D41C0A">
              <w:rPr>
                <w:rFonts w:ascii="Times New Roman" w:eastAsia="Times New Roman" w:hAnsi="Times New Roman" w:cs="Times New Roman"/>
                <w:sz w:val="24"/>
                <w:szCs w:val="24"/>
              </w:rPr>
              <w:t>Eelnõu eesmärk on tagada, et ka asendusnimistute puhul oleks võimalik rakendada ühtseid kvaliteedi- ja järelevalvemehhanisme. TTKS § 57 lg 3⁴ viide §-le 37 on lisatud teadlikult, et luua õiguslik alus reageerimiseks olukordades, kus perearsti nimistut teenindav tervishoiuteenuse osutaja ei täida talle kehtestatud nõudeid või põhimõtteid.</w:t>
            </w:r>
          </w:p>
          <w:p w14:paraId="34E791D7" w14:textId="77777777" w:rsidR="00D41C0A" w:rsidRPr="00D41C0A" w:rsidRDefault="00D41C0A" w:rsidP="00D41C0A">
            <w:pPr>
              <w:jc w:val="both"/>
              <w:rPr>
                <w:rFonts w:ascii="Times New Roman" w:eastAsia="Times New Roman" w:hAnsi="Times New Roman" w:cs="Times New Roman"/>
                <w:sz w:val="24"/>
                <w:szCs w:val="24"/>
              </w:rPr>
            </w:pPr>
            <w:r w:rsidRPr="00D41C0A">
              <w:rPr>
                <w:rFonts w:ascii="Times New Roman" w:eastAsia="Times New Roman" w:hAnsi="Times New Roman" w:cs="Times New Roman"/>
                <w:sz w:val="24"/>
                <w:szCs w:val="24"/>
              </w:rPr>
              <w:t xml:space="preserve">Terviseamet teostab riiklikku järelevalvet ka nende asendusnimistute üle, mis on Tervisekassa otsusega antud teenindada tervishoiuteenuse osutajale. Viide TTKS §-le 37 võimaldab sellistel juhtudel kohaldada nimistu </w:t>
            </w:r>
            <w:r w:rsidRPr="00D41C0A">
              <w:rPr>
                <w:rFonts w:ascii="Times New Roman" w:eastAsia="Times New Roman" w:hAnsi="Times New Roman" w:cs="Times New Roman"/>
                <w:sz w:val="24"/>
                <w:szCs w:val="24"/>
              </w:rPr>
              <w:lastRenderedPageBreak/>
              <w:t>äravõtmise aluseid ka asendusnimistute teenindamisel, tagades seeläbi regulatsiooni sisulise toimivuse ja patsientide õiguste kaitse.</w:t>
            </w:r>
          </w:p>
          <w:p w14:paraId="32D2A9D1" w14:textId="77777777" w:rsidR="00D41C0A" w:rsidRPr="00D41C0A" w:rsidRDefault="00D41C0A" w:rsidP="00D41C0A">
            <w:pPr>
              <w:jc w:val="both"/>
              <w:rPr>
                <w:rFonts w:ascii="Times New Roman" w:eastAsia="Times New Roman" w:hAnsi="Times New Roman" w:cs="Times New Roman"/>
                <w:sz w:val="24"/>
                <w:szCs w:val="24"/>
              </w:rPr>
            </w:pPr>
            <w:r w:rsidRPr="00D41C0A">
              <w:rPr>
                <w:rFonts w:ascii="Times New Roman" w:eastAsia="Times New Roman" w:hAnsi="Times New Roman" w:cs="Times New Roman"/>
                <w:sz w:val="24"/>
                <w:szCs w:val="24"/>
              </w:rPr>
              <w:t>Terviseameti pakutud alternatiivne sõnastus piiraks õiguslikke tagajärgi üksnes Tervisekassa otsuse kehtetuks tunnistamise võimalusega ega tagaks samaväärselt §-s 37 sätestatud järelevalvemeetmete kohaldamist. Seetõttu peame eelnõus kavandatud sõnastust põhjendatuks ja vajalikuks.</w:t>
            </w:r>
          </w:p>
          <w:p w14:paraId="11917B68" w14:textId="7A464F0B" w:rsidR="002612F5" w:rsidRDefault="002612F5" w:rsidP="002612F5">
            <w:pPr>
              <w:jc w:val="both"/>
              <w:rPr>
                <w:rFonts w:ascii="Times New Roman" w:eastAsia="Times New Roman" w:hAnsi="Times New Roman" w:cs="Times New Roman"/>
                <w:sz w:val="24"/>
                <w:szCs w:val="24"/>
              </w:rPr>
            </w:pPr>
          </w:p>
        </w:tc>
      </w:tr>
      <w:tr w:rsidR="00180A8C" w14:paraId="7136E03E" w14:textId="77777777" w:rsidTr="2283B2C7">
        <w:tc>
          <w:tcPr>
            <w:tcW w:w="7432" w:type="dxa"/>
          </w:tcPr>
          <w:p w14:paraId="4DED03A5" w14:textId="57D7757F" w:rsidR="00180A8C" w:rsidRPr="007F701A" w:rsidRDefault="00180A8C" w:rsidP="000878C7">
            <w:pPr>
              <w:jc w:val="center"/>
              <w:rPr>
                <w:rFonts w:ascii="Times New Roman" w:hAnsi="Times New Roman" w:cs="Times New Roman"/>
                <w:sz w:val="24"/>
                <w:szCs w:val="24"/>
              </w:rPr>
            </w:pPr>
            <w:r w:rsidRPr="002612F5">
              <w:rPr>
                <w:rFonts w:ascii="Times New Roman" w:eastAsia="Times New Roman" w:hAnsi="Times New Roman" w:cs="Times New Roman"/>
                <w:b/>
                <w:bCs/>
                <w:sz w:val="24"/>
                <w:szCs w:val="24"/>
              </w:rPr>
              <w:lastRenderedPageBreak/>
              <w:t>Esitatud märkused või ettepanekud</w:t>
            </w:r>
          </w:p>
        </w:tc>
        <w:tc>
          <w:tcPr>
            <w:tcW w:w="7447" w:type="dxa"/>
          </w:tcPr>
          <w:p w14:paraId="18B19F3F" w14:textId="7FC37DA6" w:rsidR="00180A8C" w:rsidRDefault="00180A8C" w:rsidP="000878C7">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E12F28" w14:paraId="02A7EE32" w14:textId="77777777" w:rsidTr="2283B2C7">
        <w:tc>
          <w:tcPr>
            <w:tcW w:w="14879" w:type="dxa"/>
            <w:gridSpan w:val="2"/>
          </w:tcPr>
          <w:p w14:paraId="6FF41A75" w14:textId="4DD8BE6B" w:rsidR="00E12F28" w:rsidRPr="00E12F28" w:rsidRDefault="00E12F28" w:rsidP="00E12F28">
            <w:pPr>
              <w:jc w:val="center"/>
              <w:rPr>
                <w:rFonts w:ascii="Times New Roman" w:eastAsia="Times New Roman" w:hAnsi="Times New Roman" w:cs="Times New Roman"/>
                <w:b/>
                <w:bCs/>
                <w:sz w:val="24"/>
                <w:szCs w:val="24"/>
              </w:rPr>
            </w:pPr>
            <w:r w:rsidRPr="00E12F28">
              <w:rPr>
                <w:rFonts w:ascii="Times New Roman" w:hAnsi="Times New Roman" w:cs="Times New Roman"/>
                <w:b/>
                <w:bCs/>
                <w:sz w:val="24"/>
                <w:szCs w:val="24"/>
              </w:rPr>
              <w:t>Eesti Perearstide Selts</w:t>
            </w:r>
          </w:p>
        </w:tc>
      </w:tr>
      <w:tr w:rsidR="00D41C0A" w14:paraId="7D03BB84" w14:textId="77777777" w:rsidTr="2283B2C7">
        <w:tc>
          <w:tcPr>
            <w:tcW w:w="7432" w:type="dxa"/>
          </w:tcPr>
          <w:p w14:paraId="187D6EDA" w14:textId="77777777" w:rsidR="00D41C0A" w:rsidRDefault="00D41C0A" w:rsidP="00D41C0A">
            <w:pPr>
              <w:jc w:val="both"/>
              <w:rPr>
                <w:rFonts w:ascii="Times New Roman" w:hAnsi="Times New Roman" w:cs="Times New Roman"/>
                <w:sz w:val="24"/>
                <w:szCs w:val="24"/>
              </w:rPr>
            </w:pPr>
            <w:r w:rsidRPr="00C241BD">
              <w:rPr>
                <w:rFonts w:ascii="Times New Roman" w:hAnsi="Times New Roman" w:cs="Times New Roman"/>
                <w:sz w:val="24"/>
                <w:szCs w:val="24"/>
              </w:rPr>
              <w:t xml:space="preserve">Eesti Perearstide Selts tänab Sotsiaalministeeriumi konstruktiivse koostöö eest antud seaduse muudatuste tegemisel ja meie ettepanekutega arvestamisel. Loodame siiralt, et need meie head ettepanekud, mis jäid käesolevast seaduse muutmise ringist välja saavad järgmises etapis siiski läbi arutatud ja ka seaduse muudatusteks vormistatud Peame omalt poolt ülioluliseks liikumist pikas perspektiivis optimaalse nimistu suuruse suunas ja hea tahte koostöökokkulepe põhimõtete legaliseerimist ainuõigeks. Käesoleva seaduse muutmise eelnõule on meil 2 ettepanekut: </w:t>
            </w:r>
          </w:p>
          <w:p w14:paraId="1C9AA3EB" w14:textId="77777777" w:rsidR="00D41C0A" w:rsidRDefault="00D41C0A" w:rsidP="00D41C0A">
            <w:pPr>
              <w:jc w:val="both"/>
              <w:rPr>
                <w:rFonts w:ascii="Times New Roman" w:hAnsi="Times New Roman" w:cs="Times New Roman"/>
                <w:sz w:val="24"/>
                <w:szCs w:val="24"/>
              </w:rPr>
            </w:pPr>
            <w:r w:rsidRPr="00C241BD">
              <w:rPr>
                <w:rFonts w:ascii="Times New Roman" w:hAnsi="Times New Roman" w:cs="Times New Roman"/>
                <w:sz w:val="24"/>
                <w:szCs w:val="24"/>
              </w:rPr>
              <w:t xml:space="preserve">1. Palume seletuskirjas seaduse eesmärkide peatükis muuta punkti, kus mainitakse nimistuga perearsti lahkumise regulatsiooni täpsustamist üksnes tervisekeskuste osas. Antud regulatsioon laieneb kõigile perearstikeskustele (v.a. üksikpraksise erand). </w:t>
            </w:r>
          </w:p>
          <w:p w14:paraId="17B94E5B" w14:textId="1F12502D" w:rsidR="00D41C0A" w:rsidRPr="007F701A" w:rsidRDefault="00D41C0A" w:rsidP="00D41C0A">
            <w:pPr>
              <w:jc w:val="both"/>
              <w:rPr>
                <w:rFonts w:ascii="Times New Roman" w:hAnsi="Times New Roman" w:cs="Times New Roman"/>
                <w:sz w:val="24"/>
                <w:szCs w:val="24"/>
              </w:rPr>
            </w:pPr>
            <w:r w:rsidRPr="00C241BD">
              <w:rPr>
                <w:rFonts w:ascii="Times New Roman" w:hAnsi="Times New Roman" w:cs="Times New Roman"/>
                <w:sz w:val="24"/>
                <w:szCs w:val="24"/>
              </w:rPr>
              <w:t>2. Lisaks palume eelnõust jätta välja TTKS § 15</w:t>
            </w:r>
            <w:r w:rsidRPr="389B0561">
              <w:rPr>
                <w:rFonts w:ascii="Times New Roman" w:hAnsi="Times New Roman" w:cs="Times New Roman"/>
                <w:sz w:val="24"/>
                <w:szCs w:val="24"/>
                <w:vertAlign w:val="superscript"/>
              </w:rPr>
              <w:t>1</w:t>
            </w:r>
            <w:r w:rsidRPr="00C241BD">
              <w:rPr>
                <w:rFonts w:ascii="Times New Roman" w:hAnsi="Times New Roman" w:cs="Times New Roman"/>
                <w:sz w:val="24"/>
                <w:szCs w:val="24"/>
              </w:rPr>
              <w:t xml:space="preserve"> lõike 4, kuna perearstiabi osutaja regulatsioon, sh § 9</w:t>
            </w:r>
            <w:r w:rsidRPr="389B0561">
              <w:rPr>
                <w:rFonts w:ascii="Times New Roman" w:hAnsi="Times New Roman" w:cs="Times New Roman"/>
                <w:sz w:val="24"/>
                <w:szCs w:val="24"/>
                <w:vertAlign w:val="superscript"/>
              </w:rPr>
              <w:t>1</w:t>
            </w:r>
            <w:r w:rsidRPr="00C241BD">
              <w:rPr>
                <w:rFonts w:ascii="Times New Roman" w:hAnsi="Times New Roman" w:cs="Times New Roman"/>
                <w:sz w:val="24"/>
                <w:szCs w:val="24"/>
              </w:rPr>
              <w:t xml:space="preserve"> lg 4, kohaldub nagunii ka tervisekeskuse suhtes.</w:t>
            </w:r>
          </w:p>
        </w:tc>
        <w:tc>
          <w:tcPr>
            <w:tcW w:w="7447" w:type="dxa"/>
          </w:tcPr>
          <w:p w14:paraId="095991C8" w14:textId="77D28948" w:rsidR="00D41C0A" w:rsidRDefault="00FB61D3" w:rsidP="00D41C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Arvestame</w:t>
            </w:r>
          </w:p>
          <w:p w14:paraId="3AFFA903" w14:textId="4C3A6711" w:rsidR="00D41C0A" w:rsidRPr="00AC3A59" w:rsidRDefault="00D41C0A" w:rsidP="00D41C0A">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TTKS-i eelnõusse jääb ainult §9 lg 4 täiendus teavitamiskohustuse osas, mis laieneb ühtlasi ka tervisekeskusega seotud nimistuga perearstidele. Sellest tulenevalt ei ole §15</w:t>
            </w:r>
            <w:r w:rsidRPr="005266A0">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lg 4 sätte regulatsioon enam tõesti oluline.</w:t>
            </w:r>
          </w:p>
        </w:tc>
      </w:tr>
      <w:tr w:rsidR="00D41C0A" w14:paraId="7F0D54D0" w14:textId="77777777" w:rsidTr="2283B2C7">
        <w:tc>
          <w:tcPr>
            <w:tcW w:w="7432" w:type="dxa"/>
          </w:tcPr>
          <w:p w14:paraId="7BCDC850" w14:textId="1361556A" w:rsidR="00D41C0A" w:rsidRPr="007F701A" w:rsidRDefault="00D41C0A" w:rsidP="00D41C0A">
            <w:pPr>
              <w:jc w:val="center"/>
              <w:rPr>
                <w:rFonts w:ascii="Times New Roman" w:hAnsi="Times New Roman" w:cs="Times New Roman"/>
                <w:sz w:val="24"/>
                <w:szCs w:val="24"/>
              </w:rPr>
            </w:pPr>
            <w:r w:rsidRPr="002612F5">
              <w:rPr>
                <w:rFonts w:ascii="Times New Roman" w:eastAsia="Times New Roman" w:hAnsi="Times New Roman" w:cs="Times New Roman"/>
                <w:b/>
                <w:bCs/>
                <w:sz w:val="24"/>
                <w:szCs w:val="24"/>
              </w:rPr>
              <w:t>Esitatud märkused või ettepanekud</w:t>
            </w:r>
          </w:p>
        </w:tc>
        <w:tc>
          <w:tcPr>
            <w:tcW w:w="7447" w:type="dxa"/>
          </w:tcPr>
          <w:p w14:paraId="208A91F0" w14:textId="18168F0A" w:rsidR="00D41C0A" w:rsidRDefault="00D41C0A" w:rsidP="00D41C0A">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D41C0A" w14:paraId="49750704" w14:textId="77777777" w:rsidTr="2283B2C7">
        <w:tc>
          <w:tcPr>
            <w:tcW w:w="14879" w:type="dxa"/>
            <w:gridSpan w:val="2"/>
          </w:tcPr>
          <w:p w14:paraId="76DE4E76" w14:textId="3837FAEF" w:rsidR="00D41C0A" w:rsidRPr="00444635" w:rsidRDefault="00D41C0A" w:rsidP="00D41C0A">
            <w:pPr>
              <w:jc w:val="center"/>
              <w:rPr>
                <w:rFonts w:ascii="Times New Roman" w:eastAsia="Times New Roman" w:hAnsi="Times New Roman" w:cs="Times New Roman"/>
                <w:b/>
                <w:bCs/>
                <w:sz w:val="24"/>
                <w:szCs w:val="24"/>
              </w:rPr>
            </w:pPr>
            <w:r w:rsidRPr="00444635">
              <w:rPr>
                <w:rFonts w:ascii="Times New Roman" w:hAnsi="Times New Roman" w:cs="Times New Roman"/>
                <w:b/>
                <w:bCs/>
                <w:sz w:val="24"/>
                <w:szCs w:val="24"/>
              </w:rPr>
              <w:t xml:space="preserve">Eesti </w:t>
            </w:r>
            <w:r>
              <w:rPr>
                <w:rFonts w:ascii="Times New Roman" w:hAnsi="Times New Roman" w:cs="Times New Roman"/>
                <w:b/>
                <w:bCs/>
                <w:sz w:val="24"/>
                <w:szCs w:val="24"/>
              </w:rPr>
              <w:t>Esmatasandi Tervisekeskuste Liit</w:t>
            </w:r>
          </w:p>
        </w:tc>
      </w:tr>
      <w:tr w:rsidR="00D41C0A" w14:paraId="33AA81C2" w14:textId="77777777" w:rsidTr="2283B2C7">
        <w:tc>
          <w:tcPr>
            <w:tcW w:w="7432" w:type="dxa"/>
          </w:tcPr>
          <w:p w14:paraId="265450CD" w14:textId="77777777" w:rsidR="00D41C0A" w:rsidRDefault="00D41C0A" w:rsidP="00D41C0A">
            <w:pPr>
              <w:jc w:val="both"/>
              <w:rPr>
                <w:rFonts w:ascii="Times New Roman" w:hAnsi="Times New Roman" w:cs="Times New Roman"/>
                <w:sz w:val="24"/>
                <w:szCs w:val="24"/>
              </w:rPr>
            </w:pPr>
            <w:r w:rsidRPr="002F401E">
              <w:rPr>
                <w:rFonts w:ascii="Times New Roman" w:hAnsi="Times New Roman" w:cs="Times New Roman"/>
                <w:sz w:val="24"/>
                <w:szCs w:val="24"/>
              </w:rPr>
              <w:t xml:space="preserve">ETTKL ei ole eelnõu vastuvõtmise vastu, kuid peab vajalikuks esitada eelnõu osas järgmised märkused. ETTKL soovib juhtida esmalt tähelepanu eelnõuga kavandatavatele sätetele, mille kehtestamist seaduse tasandil me põhjendatuks ei pea. Meie hinnangul tooks nende nõuete sätestamine kaasa perearstiabi </w:t>
            </w:r>
            <w:proofErr w:type="spellStart"/>
            <w:r w:rsidRPr="002F401E">
              <w:rPr>
                <w:rFonts w:ascii="Times New Roman" w:hAnsi="Times New Roman" w:cs="Times New Roman"/>
                <w:sz w:val="24"/>
                <w:szCs w:val="24"/>
              </w:rPr>
              <w:t>ülereguleerimise</w:t>
            </w:r>
            <w:proofErr w:type="spellEnd"/>
            <w:r w:rsidRPr="002F401E">
              <w:rPr>
                <w:rFonts w:ascii="Times New Roman" w:hAnsi="Times New Roman" w:cs="Times New Roman"/>
                <w:sz w:val="24"/>
                <w:szCs w:val="24"/>
              </w:rPr>
              <w:t xml:space="preserve"> ning piiraks praktikas teenuse korraldamiseks </w:t>
            </w:r>
            <w:r w:rsidRPr="002F401E">
              <w:rPr>
                <w:rFonts w:ascii="Times New Roman" w:hAnsi="Times New Roman" w:cs="Times New Roman"/>
                <w:sz w:val="24"/>
                <w:szCs w:val="24"/>
              </w:rPr>
              <w:lastRenderedPageBreak/>
              <w:t xml:space="preserve">vajalikku paindlikkust. Sellest lähtudes teeme ettepaneku alljärgnevad sätted üle vaadata: </w:t>
            </w:r>
          </w:p>
          <w:p w14:paraId="65DC7859" w14:textId="77777777" w:rsidR="00D41C0A" w:rsidRDefault="00D41C0A" w:rsidP="00D41C0A">
            <w:pPr>
              <w:jc w:val="both"/>
              <w:rPr>
                <w:rFonts w:ascii="Times New Roman" w:hAnsi="Times New Roman" w:cs="Times New Roman"/>
                <w:sz w:val="24"/>
                <w:szCs w:val="24"/>
              </w:rPr>
            </w:pPr>
            <w:r>
              <w:rPr>
                <w:rFonts w:ascii="Times New Roman" w:hAnsi="Times New Roman" w:cs="Times New Roman"/>
                <w:sz w:val="24"/>
                <w:szCs w:val="24"/>
              </w:rPr>
              <w:t xml:space="preserve">- </w:t>
            </w:r>
            <w:r w:rsidRPr="002F401E">
              <w:rPr>
                <w:rFonts w:ascii="Times New Roman" w:hAnsi="Times New Roman" w:cs="Times New Roman"/>
                <w:sz w:val="24"/>
                <w:szCs w:val="24"/>
              </w:rPr>
              <w:t>„(3</w:t>
            </w:r>
            <w:r w:rsidRPr="002F401E">
              <w:rPr>
                <w:rFonts w:ascii="Times New Roman" w:hAnsi="Times New Roman" w:cs="Times New Roman"/>
                <w:sz w:val="24"/>
                <w:szCs w:val="24"/>
                <w:vertAlign w:val="superscript"/>
              </w:rPr>
              <w:t>3</w:t>
            </w:r>
            <w:r w:rsidRPr="002F401E">
              <w:rPr>
                <w:rFonts w:ascii="Times New Roman" w:hAnsi="Times New Roman" w:cs="Times New Roman"/>
                <w:sz w:val="24"/>
                <w:szCs w:val="24"/>
              </w:rPr>
              <w:t xml:space="preserve">) … Keeldumise korral annab perearst patsiendile teavet, kust on leitav teave nimistute kohta, milles on vähem kui 1600 isikut.“; → Meie hinnangul puudub vajadus sellise kohustuse eraldi seaduses sätestamiseks. Vastava teabe andmine patsiendile toimub praktikas juba praegu ning tegemist on tavapärase töökorraldusliku tegevusega, mis ei vaja täiendavat reguleerimist seaduse tasandil. </w:t>
            </w:r>
          </w:p>
          <w:p w14:paraId="7B48F41C" w14:textId="5601D728" w:rsidR="00D41C0A" w:rsidRPr="007F701A" w:rsidRDefault="00D41C0A" w:rsidP="00D41C0A">
            <w:pPr>
              <w:jc w:val="both"/>
              <w:rPr>
                <w:rFonts w:ascii="Times New Roman" w:hAnsi="Times New Roman" w:cs="Times New Roman"/>
                <w:sz w:val="24"/>
                <w:szCs w:val="24"/>
              </w:rPr>
            </w:pPr>
            <w:r>
              <w:rPr>
                <w:rFonts w:ascii="Times New Roman" w:hAnsi="Times New Roman" w:cs="Times New Roman"/>
                <w:sz w:val="24"/>
                <w:szCs w:val="24"/>
              </w:rPr>
              <w:t>-</w:t>
            </w:r>
            <w:r w:rsidRPr="002F401E">
              <w:rPr>
                <w:rFonts w:ascii="Times New Roman" w:hAnsi="Times New Roman" w:cs="Times New Roman"/>
                <w:sz w:val="24"/>
                <w:szCs w:val="24"/>
              </w:rPr>
              <w:t xml:space="preserve"> „(4</w:t>
            </w:r>
            <w:r w:rsidRPr="389B0561">
              <w:rPr>
                <w:rFonts w:ascii="Times New Roman" w:hAnsi="Times New Roman" w:cs="Times New Roman"/>
                <w:sz w:val="24"/>
                <w:szCs w:val="24"/>
                <w:vertAlign w:val="superscript"/>
              </w:rPr>
              <w:t>3</w:t>
            </w:r>
            <w:r w:rsidRPr="002F401E">
              <w:rPr>
                <w:rFonts w:ascii="Times New Roman" w:hAnsi="Times New Roman" w:cs="Times New Roman"/>
                <w:sz w:val="24"/>
                <w:szCs w:val="24"/>
              </w:rPr>
              <w:t>) … lähtudes nimistu suurusest … → Ettepanek on muuta üleval toodud sõnastust järgnevalt: „eelistades nimistuid suurusega kuni 1600 isikut“. Selline sõnastus on selgem ning annab ka Tervisekassale suurema paindlikkuse kuhu patsienti saab vajaduse korral paigutada.</w:t>
            </w:r>
          </w:p>
        </w:tc>
        <w:tc>
          <w:tcPr>
            <w:tcW w:w="7447" w:type="dxa"/>
          </w:tcPr>
          <w:p w14:paraId="6E977D0C" w14:textId="7CEB992D" w:rsidR="00D41C0A" w:rsidRDefault="00D41C0A" w:rsidP="00D41C0A">
            <w:pPr>
              <w:jc w:val="both"/>
            </w:pPr>
            <w:r w:rsidRPr="389B0561">
              <w:rPr>
                <w:rFonts w:ascii="Times New Roman" w:eastAsia="Times New Roman" w:hAnsi="Times New Roman" w:cs="Times New Roman"/>
                <w:sz w:val="24"/>
                <w:szCs w:val="24"/>
              </w:rPr>
              <w:lastRenderedPageBreak/>
              <w:t>Selgitame</w:t>
            </w:r>
          </w:p>
          <w:p w14:paraId="50D15888" w14:textId="6634C57B" w:rsidR="004E7628" w:rsidRDefault="004E7628" w:rsidP="004E7628">
            <w:pPr>
              <w:jc w:val="both"/>
              <w:rPr>
                <w:rFonts w:ascii="Times New Roman" w:eastAsia="Times New Roman" w:hAnsi="Times New Roman" w:cs="Times New Roman"/>
                <w:sz w:val="24"/>
                <w:szCs w:val="24"/>
              </w:rPr>
            </w:pPr>
            <w:r w:rsidRPr="004E7628">
              <w:rPr>
                <w:rFonts w:ascii="Times New Roman" w:eastAsia="Times New Roman" w:hAnsi="Times New Roman" w:cs="Times New Roman"/>
                <w:sz w:val="24"/>
                <w:szCs w:val="24"/>
              </w:rPr>
              <w:t xml:space="preserve">TTKS § 8 lg 3³ kohaselt perearstile pandud teavitamiskohustuse eesmärk on tagada patsiendile vajalik informatsioon olukorras, kus perearst keeldub isiku nimistusse võtmisest. Kuigi teabe andmine toimub praktikas sageli juba praegu, peame oluliseks sätestada patsiendikeskne miinimumstandard ka seaduses. Isiku suunamine teabeallika juurde, kust on võimalik saada </w:t>
            </w:r>
            <w:r w:rsidRPr="004E7628">
              <w:rPr>
                <w:rFonts w:ascii="Times New Roman" w:eastAsia="Times New Roman" w:hAnsi="Times New Roman" w:cs="Times New Roman"/>
                <w:sz w:val="24"/>
                <w:szCs w:val="24"/>
              </w:rPr>
              <w:lastRenderedPageBreak/>
              <w:t xml:space="preserve">ülevaade väiksema täituvusega nimistutest, aitab kaasa perearstiabi kättesaadavusele ning vähendab riski, et inimene jääb vajaliku teabeta. Seetõttu ei pea me põhjendatuks vastava </w:t>
            </w:r>
            <w:r w:rsidR="00F03B5B">
              <w:rPr>
                <w:rFonts w:ascii="Times New Roman" w:eastAsia="Times New Roman" w:hAnsi="Times New Roman" w:cs="Times New Roman"/>
                <w:sz w:val="24"/>
                <w:szCs w:val="24"/>
              </w:rPr>
              <w:t>lause</w:t>
            </w:r>
            <w:r w:rsidRPr="004E7628">
              <w:rPr>
                <w:rFonts w:ascii="Times New Roman" w:eastAsia="Times New Roman" w:hAnsi="Times New Roman" w:cs="Times New Roman"/>
                <w:sz w:val="24"/>
                <w:szCs w:val="24"/>
              </w:rPr>
              <w:t xml:space="preserve"> eemaldamist.</w:t>
            </w:r>
          </w:p>
          <w:p w14:paraId="72930402" w14:textId="77777777" w:rsidR="004E7628" w:rsidRPr="004E7628" w:rsidRDefault="004E7628" w:rsidP="004E7628">
            <w:pPr>
              <w:jc w:val="both"/>
              <w:rPr>
                <w:rFonts w:ascii="Times New Roman" w:eastAsia="Times New Roman" w:hAnsi="Times New Roman" w:cs="Times New Roman"/>
                <w:sz w:val="24"/>
                <w:szCs w:val="24"/>
              </w:rPr>
            </w:pPr>
          </w:p>
          <w:p w14:paraId="0A3E45C2" w14:textId="77777777" w:rsidR="004E7628" w:rsidRDefault="004E7628" w:rsidP="004E7628">
            <w:pPr>
              <w:jc w:val="both"/>
              <w:rPr>
                <w:rFonts w:ascii="Times New Roman" w:eastAsia="Times New Roman" w:hAnsi="Times New Roman" w:cs="Times New Roman"/>
                <w:sz w:val="24"/>
                <w:szCs w:val="24"/>
              </w:rPr>
            </w:pPr>
            <w:r w:rsidRPr="004E7628">
              <w:rPr>
                <w:rFonts w:ascii="Times New Roman" w:eastAsia="Times New Roman" w:hAnsi="Times New Roman" w:cs="Times New Roman"/>
                <w:sz w:val="24"/>
                <w:szCs w:val="24"/>
              </w:rPr>
              <w:t>TTKS § 8 lg 4³ sõnastuse osas märgime, et eelnõus kasutatud lahendus on kooskõlas sarnaste põhimõtetega, mida kasutatakse ka ravi rahastamise lepingu regulatsioonis. Kavandatud sõnastus võimaldab lähtuda nimistute tegelikust suurusest ja tagab seeläbi läbipaistvama ning objektiivsema aluse otsuste tegemiseks. Seetõttu ei pea me vajalikuks asendada sõnastust väljendiga „eelistades nimistuid suurusega kuni 1600 isikut“.</w:t>
            </w:r>
          </w:p>
          <w:p w14:paraId="606DA1B6" w14:textId="77777777" w:rsidR="004E7628" w:rsidRPr="004E7628" w:rsidRDefault="004E7628" w:rsidP="004E7628">
            <w:pPr>
              <w:jc w:val="both"/>
              <w:rPr>
                <w:rFonts w:ascii="Times New Roman" w:eastAsia="Times New Roman" w:hAnsi="Times New Roman" w:cs="Times New Roman"/>
                <w:sz w:val="24"/>
                <w:szCs w:val="24"/>
              </w:rPr>
            </w:pPr>
          </w:p>
          <w:p w14:paraId="38C9E031" w14:textId="395018BA" w:rsidR="00D41C0A" w:rsidRPr="00C64550" w:rsidRDefault="00D41C0A" w:rsidP="00E1384F">
            <w:pPr>
              <w:jc w:val="both"/>
            </w:pPr>
          </w:p>
        </w:tc>
      </w:tr>
      <w:tr w:rsidR="00D41C0A" w14:paraId="2201D1AB" w14:textId="77777777" w:rsidTr="2283B2C7">
        <w:tc>
          <w:tcPr>
            <w:tcW w:w="7432" w:type="dxa"/>
          </w:tcPr>
          <w:p w14:paraId="1943C8D2" w14:textId="171E4819" w:rsidR="00D41C0A" w:rsidRPr="007F701A" w:rsidRDefault="00D41C0A" w:rsidP="00D41C0A">
            <w:pPr>
              <w:jc w:val="both"/>
              <w:rPr>
                <w:rFonts w:ascii="Times New Roman" w:hAnsi="Times New Roman" w:cs="Times New Roman"/>
                <w:sz w:val="24"/>
                <w:szCs w:val="24"/>
              </w:rPr>
            </w:pPr>
            <w:r w:rsidRPr="00E77772">
              <w:rPr>
                <w:rFonts w:ascii="Times New Roman" w:hAnsi="Times New Roman" w:cs="Times New Roman"/>
                <w:sz w:val="24"/>
                <w:szCs w:val="24"/>
              </w:rPr>
              <w:lastRenderedPageBreak/>
              <w:t>Lisaks eelnõus kavandatud muudatustele soovib ETTKL tõstatada ühe täiendava teema, mida eelnõu praegu ei käsitle, kuid mille reguleerimine seaduse tasandil on vajalik. Teeme ettepaneku kaaluda patsiendi perearsti nimistust väljaarvamise aluste sätestamist. Praktikas on esinenud olukordi, kus patsiendi käitumine perearsti või tervisekeskuse töötajate suhtes on ähvardav või agressiivne, mis mõjutab nii töötajate turvatunnet, kui ka häirib tervisekeskuse tavapärast töökeskkonda ja teisi patsiente. Samuti on olnud juhtumeid, kus patsient esitab korduvalt ja pahatahtlikult alusetuid kaebusi Tervisekassale või Terviseametile. Mõlemad kirjeldatud olukorrad kahjustavad oluliselt patsiendi ja perearsti vahelist usaldussuhet ning võivad muuta ravisuhte jätkamise väga keeruliseks. Hetkel puuduvad perearstil sellistes olukordades õiguslikud vahendid, mille alusel saaks patsiendi nimistust välja arvata. ETTKL hinnangul tuleks kaaluda seaduses selgete aluste sätestamist, mille esinemisel oleks erandlikel juhtudel võimalik patsient nimistust välja arvata. Seejuures on oluline, et patsient ei jääks perearstiabita. Meie silmis ühe võimaliku lahendusena võiks selliste juhtumite puhul patsiendile uue perearsti leidmise ja teise nimistusse suunamise korraldamine jääda Tervisekassa ülesandeks.</w:t>
            </w:r>
          </w:p>
        </w:tc>
        <w:tc>
          <w:tcPr>
            <w:tcW w:w="7447" w:type="dxa"/>
          </w:tcPr>
          <w:p w14:paraId="75D2318E" w14:textId="77777777" w:rsidR="00E1384F" w:rsidRDefault="00E1384F" w:rsidP="00E1384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Selgitame</w:t>
            </w:r>
          </w:p>
          <w:p w14:paraId="66420F4F" w14:textId="4D6F85D9" w:rsidR="00E1384F" w:rsidRPr="004E7628" w:rsidRDefault="00E1384F" w:rsidP="00E1384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4E7628">
              <w:rPr>
                <w:rFonts w:ascii="Times New Roman" w:eastAsia="Times New Roman" w:hAnsi="Times New Roman" w:cs="Times New Roman"/>
                <w:sz w:val="24"/>
                <w:szCs w:val="24"/>
              </w:rPr>
              <w:t>imistust väljaarvamisega seotud küsimused vajavad põhjalikumat analüüsi ning on kavandatud aruteluks järgmistes TTKS-i muutmisringides. Seetõttu ei käsitleta nimetatud küsimust käesoleva eelnõu raames.</w:t>
            </w:r>
          </w:p>
          <w:p w14:paraId="587BD75C" w14:textId="4E280BEA" w:rsidR="00D41C0A" w:rsidRPr="006B5C4D" w:rsidRDefault="00D41C0A" w:rsidP="00D41C0A">
            <w:pPr>
              <w:jc w:val="both"/>
              <w:rPr>
                <w:rFonts w:ascii="Times New Roman" w:eastAsia="Times New Roman" w:hAnsi="Times New Roman" w:cs="Times New Roman"/>
                <w:sz w:val="24"/>
                <w:szCs w:val="24"/>
              </w:rPr>
            </w:pPr>
          </w:p>
        </w:tc>
      </w:tr>
      <w:tr w:rsidR="00D41C0A" w14:paraId="34B1FDCD" w14:textId="77777777" w:rsidTr="2283B2C7">
        <w:tc>
          <w:tcPr>
            <w:tcW w:w="7432" w:type="dxa"/>
          </w:tcPr>
          <w:p w14:paraId="28486F6D" w14:textId="1622B193" w:rsidR="00D41C0A" w:rsidRPr="007F701A" w:rsidRDefault="00D41C0A" w:rsidP="00D41C0A">
            <w:pPr>
              <w:jc w:val="both"/>
              <w:rPr>
                <w:rFonts w:ascii="Times New Roman" w:hAnsi="Times New Roman" w:cs="Times New Roman"/>
                <w:sz w:val="24"/>
                <w:szCs w:val="24"/>
              </w:rPr>
            </w:pPr>
            <w:r w:rsidRPr="000322C0">
              <w:rPr>
                <w:rFonts w:ascii="Times New Roman" w:hAnsi="Times New Roman" w:cs="Times New Roman"/>
                <w:sz w:val="24"/>
                <w:szCs w:val="24"/>
              </w:rPr>
              <w:t xml:space="preserve">Viimaseks peab ETTKL vajalikuks juhtida tähelepanu ka tervishoiuteenuste korraldamise seaduse tervikliku ülevaatamise vajadusele. TTKS-i on oma </w:t>
            </w:r>
            <w:r w:rsidRPr="000322C0">
              <w:rPr>
                <w:rFonts w:ascii="Times New Roman" w:hAnsi="Times New Roman" w:cs="Times New Roman"/>
                <w:sz w:val="24"/>
                <w:szCs w:val="24"/>
              </w:rPr>
              <w:lastRenderedPageBreak/>
              <w:t>pika kehtivusaja jooksul korduvalt muudetud ning seaduse tekst sisaldab muuhulgas mitmeid tänaseks kehtetuks tunnistatud sätteid. ETTKL hinnangul oleks põhjendatud seadus tervikuna üle vaadata ja korrastada, et tagada regulatsiooni parem selgus ja süsteemsus ning lihtsustada selle rakendamist praktikas.</w:t>
            </w:r>
          </w:p>
        </w:tc>
        <w:tc>
          <w:tcPr>
            <w:tcW w:w="7447" w:type="dxa"/>
          </w:tcPr>
          <w:p w14:paraId="7FCC3FA1" w14:textId="433D441A" w:rsidR="002C7E6F" w:rsidRDefault="002C7E6F" w:rsidP="002C7E6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Selgitame</w:t>
            </w:r>
          </w:p>
          <w:p w14:paraId="10A40BD8" w14:textId="5DC367C6" w:rsidR="002C7E6F" w:rsidRPr="002C7E6F" w:rsidRDefault="002C7E6F" w:rsidP="002C7E6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Nõustume, et TTKS-i</w:t>
            </w:r>
            <w:r w:rsidRPr="002C7E6F">
              <w:rPr>
                <w:rFonts w:ascii="Times New Roman" w:eastAsia="Times New Roman" w:hAnsi="Times New Roman" w:cs="Times New Roman"/>
                <w:sz w:val="24"/>
                <w:szCs w:val="24"/>
              </w:rPr>
              <w:t xml:space="preserve"> on korduvalt muudetud ning seaduse süsteemne korrastamine võib pikemas perspektiivis olla põhjendatud.</w:t>
            </w:r>
          </w:p>
          <w:p w14:paraId="006706C2" w14:textId="5C99133B" w:rsidR="002C7E6F" w:rsidRPr="002C7E6F" w:rsidRDefault="002C7E6F" w:rsidP="002C7E6F">
            <w:pPr>
              <w:jc w:val="both"/>
              <w:rPr>
                <w:rFonts w:ascii="Times New Roman" w:eastAsia="Times New Roman" w:hAnsi="Times New Roman" w:cs="Times New Roman"/>
                <w:sz w:val="24"/>
                <w:szCs w:val="24"/>
              </w:rPr>
            </w:pPr>
            <w:r w:rsidRPr="002C7E6F">
              <w:rPr>
                <w:rFonts w:ascii="Times New Roman" w:eastAsia="Times New Roman" w:hAnsi="Times New Roman" w:cs="Times New Roman"/>
                <w:sz w:val="24"/>
                <w:szCs w:val="24"/>
              </w:rPr>
              <w:t xml:space="preserve">Käesoleva eelnõu eesmärk on siiski lahendada konkreetsed perearstiabi korraldamisega seotud probleemid ning luua vajalikud õiguslikud alused perearstiabi kättesaadavuse tagamiseks. Seaduse terviklik läbivaatamine </w:t>
            </w:r>
            <w:r>
              <w:rPr>
                <w:rFonts w:ascii="Times New Roman" w:eastAsia="Times New Roman" w:hAnsi="Times New Roman" w:cs="Times New Roman"/>
                <w:sz w:val="24"/>
                <w:szCs w:val="24"/>
              </w:rPr>
              <w:t>ja/</w:t>
            </w:r>
            <w:r w:rsidRPr="002C7E6F">
              <w:rPr>
                <w:rFonts w:ascii="Times New Roman" w:eastAsia="Times New Roman" w:hAnsi="Times New Roman" w:cs="Times New Roman"/>
                <w:sz w:val="24"/>
                <w:szCs w:val="24"/>
              </w:rPr>
              <w:t xml:space="preserve">või korrastamise vajaduse hindamine väljub käesoleva eelnõu eesmärgist </w:t>
            </w:r>
            <w:r>
              <w:rPr>
                <w:rFonts w:ascii="Times New Roman" w:eastAsia="Times New Roman" w:hAnsi="Times New Roman" w:cs="Times New Roman"/>
                <w:sz w:val="24"/>
                <w:szCs w:val="24"/>
              </w:rPr>
              <w:t>ning</w:t>
            </w:r>
            <w:r w:rsidRPr="002C7E6F">
              <w:rPr>
                <w:rFonts w:ascii="Times New Roman" w:eastAsia="Times New Roman" w:hAnsi="Times New Roman" w:cs="Times New Roman"/>
                <w:sz w:val="24"/>
                <w:szCs w:val="24"/>
              </w:rPr>
              <w:t xml:space="preserve"> mahust.</w:t>
            </w:r>
          </w:p>
          <w:p w14:paraId="36B41C12" w14:textId="77777777" w:rsidR="00D41C0A" w:rsidRDefault="002C7E6F" w:rsidP="00D41C0A">
            <w:pPr>
              <w:jc w:val="both"/>
              <w:rPr>
                <w:rFonts w:ascii="Times New Roman" w:eastAsia="Times New Roman" w:hAnsi="Times New Roman" w:cs="Times New Roman"/>
                <w:sz w:val="24"/>
                <w:szCs w:val="24"/>
              </w:rPr>
            </w:pPr>
            <w:r w:rsidRPr="002C7E6F">
              <w:rPr>
                <w:rFonts w:ascii="Times New Roman" w:eastAsia="Times New Roman" w:hAnsi="Times New Roman" w:cs="Times New Roman"/>
                <w:sz w:val="24"/>
                <w:szCs w:val="24"/>
              </w:rPr>
              <w:t xml:space="preserve">Võtame esitatud ettepaneku teadmiseks ning arvestame seda </w:t>
            </w:r>
            <w:r>
              <w:rPr>
                <w:rFonts w:ascii="Times New Roman" w:eastAsia="Times New Roman" w:hAnsi="Times New Roman" w:cs="Times New Roman"/>
                <w:sz w:val="24"/>
                <w:szCs w:val="24"/>
              </w:rPr>
              <w:t>TTKS-i</w:t>
            </w:r>
            <w:r w:rsidRPr="002C7E6F">
              <w:rPr>
                <w:rFonts w:ascii="Times New Roman" w:eastAsia="Times New Roman" w:hAnsi="Times New Roman" w:cs="Times New Roman"/>
                <w:sz w:val="24"/>
                <w:szCs w:val="24"/>
              </w:rPr>
              <w:t xml:space="preserve"> edasiste arenduste ja võimalike tulevaste muutmisprotsesside kavandamisel.</w:t>
            </w:r>
          </w:p>
          <w:p w14:paraId="7DE77CF7" w14:textId="43B2E9BF" w:rsidR="009721DD" w:rsidRPr="009721DD" w:rsidRDefault="009721DD" w:rsidP="00D41C0A">
            <w:pPr>
              <w:jc w:val="both"/>
              <w:rPr>
                <w:rFonts w:ascii="Times New Roman" w:eastAsia="Times New Roman" w:hAnsi="Times New Roman" w:cs="Times New Roman"/>
                <w:sz w:val="24"/>
                <w:szCs w:val="24"/>
              </w:rPr>
            </w:pPr>
          </w:p>
        </w:tc>
      </w:tr>
      <w:tr w:rsidR="00D41C0A" w14:paraId="6BDE510D" w14:textId="77777777" w:rsidTr="2283B2C7">
        <w:tc>
          <w:tcPr>
            <w:tcW w:w="7432" w:type="dxa"/>
          </w:tcPr>
          <w:p w14:paraId="491AB261" w14:textId="5BA312CE" w:rsidR="00D41C0A" w:rsidRPr="007F701A" w:rsidRDefault="00D41C0A" w:rsidP="00D41C0A">
            <w:pPr>
              <w:jc w:val="center"/>
              <w:rPr>
                <w:rFonts w:ascii="Times New Roman" w:hAnsi="Times New Roman" w:cs="Times New Roman"/>
                <w:sz w:val="24"/>
                <w:szCs w:val="24"/>
              </w:rPr>
            </w:pPr>
            <w:r w:rsidRPr="002612F5">
              <w:rPr>
                <w:rFonts w:ascii="Times New Roman" w:eastAsia="Times New Roman" w:hAnsi="Times New Roman" w:cs="Times New Roman"/>
                <w:b/>
                <w:bCs/>
                <w:sz w:val="24"/>
                <w:szCs w:val="24"/>
              </w:rPr>
              <w:lastRenderedPageBreak/>
              <w:t>Esitatud märkused või ettepanekud</w:t>
            </w:r>
          </w:p>
        </w:tc>
        <w:tc>
          <w:tcPr>
            <w:tcW w:w="7447" w:type="dxa"/>
          </w:tcPr>
          <w:p w14:paraId="2039FE52" w14:textId="1A153EEE" w:rsidR="00D41C0A" w:rsidRDefault="00D41C0A" w:rsidP="00D41C0A">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D41C0A" w14:paraId="7FD6E225" w14:textId="77777777" w:rsidTr="2283B2C7">
        <w:tc>
          <w:tcPr>
            <w:tcW w:w="14879" w:type="dxa"/>
            <w:gridSpan w:val="2"/>
          </w:tcPr>
          <w:p w14:paraId="288134E4" w14:textId="5E6E43CB" w:rsidR="00D41C0A" w:rsidRPr="00945815" w:rsidRDefault="009721DD" w:rsidP="00D41C0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Justiits- ja Digiministeerium</w:t>
            </w:r>
          </w:p>
        </w:tc>
      </w:tr>
      <w:tr w:rsidR="00D41C0A" w14:paraId="703AEC8B" w14:textId="77777777" w:rsidTr="2283B2C7">
        <w:tc>
          <w:tcPr>
            <w:tcW w:w="7432" w:type="dxa"/>
          </w:tcPr>
          <w:p w14:paraId="4CA1285D" w14:textId="77777777" w:rsidR="00EB456C" w:rsidRPr="00EB456C" w:rsidRDefault="00EB456C" w:rsidP="00EB456C">
            <w:pPr>
              <w:jc w:val="both"/>
              <w:rPr>
                <w:rFonts w:ascii="Times New Roman" w:hAnsi="Times New Roman" w:cs="Times New Roman"/>
                <w:sz w:val="24"/>
                <w:szCs w:val="24"/>
              </w:rPr>
            </w:pPr>
            <w:r w:rsidRPr="00EB456C">
              <w:rPr>
                <w:rFonts w:ascii="Times New Roman" w:hAnsi="Times New Roman" w:cs="Times New Roman"/>
                <w:sz w:val="24"/>
                <w:szCs w:val="24"/>
              </w:rPr>
              <w:t>Tervishoiuteenuse osutamisel ei ole perearst haldusorgan, kuid perearsti nimistu moodustamise ja nimistusse registreerimise üle otsustamisel täidab ta seadusega pandud avalikku ülesannet ning tegutseb selles ulatuses haldusorganina haldusmenetluse seaduse § 8 tähenduses. Selguse huvides palume lisada selle täpsustuse seletuskirja.</w:t>
            </w:r>
          </w:p>
          <w:p w14:paraId="6529FD3E" w14:textId="214EAD8E" w:rsidR="00D41C0A" w:rsidRPr="007F701A" w:rsidRDefault="00D41C0A" w:rsidP="00D41C0A">
            <w:pPr>
              <w:jc w:val="both"/>
              <w:rPr>
                <w:rFonts w:ascii="Times New Roman" w:hAnsi="Times New Roman" w:cs="Times New Roman"/>
                <w:sz w:val="24"/>
                <w:szCs w:val="24"/>
              </w:rPr>
            </w:pPr>
          </w:p>
        </w:tc>
        <w:tc>
          <w:tcPr>
            <w:tcW w:w="7447" w:type="dxa"/>
          </w:tcPr>
          <w:p w14:paraId="32B90FBC" w14:textId="58B78F25" w:rsidR="00D41C0A" w:rsidRPr="002B2487" w:rsidRDefault="00EB456C" w:rsidP="00D41C0A">
            <w:pPr>
              <w:jc w:val="both"/>
              <w:rPr>
                <w:rFonts w:ascii="Times New Roman" w:eastAsia="Times New Roman" w:hAnsi="Times New Roman" w:cs="Times New Roman"/>
                <w:sz w:val="24"/>
                <w:szCs w:val="24"/>
              </w:rPr>
            </w:pPr>
            <w:r w:rsidRPr="002B2487">
              <w:rPr>
                <w:rFonts w:ascii="Times New Roman" w:eastAsia="Times New Roman" w:hAnsi="Times New Roman" w:cs="Times New Roman"/>
                <w:sz w:val="24"/>
                <w:szCs w:val="24"/>
              </w:rPr>
              <w:t>Arvestatud</w:t>
            </w:r>
            <w:r w:rsidR="002447F1" w:rsidRPr="002B2487">
              <w:rPr>
                <w:rFonts w:ascii="Times New Roman" w:eastAsia="Times New Roman" w:hAnsi="Times New Roman" w:cs="Times New Roman"/>
                <w:sz w:val="24"/>
                <w:szCs w:val="24"/>
              </w:rPr>
              <w:t xml:space="preserve"> osaliselt</w:t>
            </w:r>
            <w:r w:rsidRPr="002B2487">
              <w:rPr>
                <w:rFonts w:ascii="Times New Roman" w:eastAsia="Times New Roman" w:hAnsi="Times New Roman" w:cs="Times New Roman"/>
                <w:sz w:val="24"/>
                <w:szCs w:val="24"/>
              </w:rPr>
              <w:t>, seletuskirja täiendatud.</w:t>
            </w:r>
          </w:p>
          <w:p w14:paraId="16E527F7" w14:textId="60C58946" w:rsidR="00352C67" w:rsidRPr="002B2487" w:rsidRDefault="00352C67" w:rsidP="00D41C0A">
            <w:pPr>
              <w:jc w:val="both"/>
              <w:rPr>
                <w:rFonts w:ascii="Times New Roman" w:eastAsia="Times New Roman" w:hAnsi="Times New Roman" w:cs="Times New Roman"/>
                <w:sz w:val="24"/>
                <w:szCs w:val="24"/>
              </w:rPr>
            </w:pPr>
            <w:r w:rsidRPr="002B2487">
              <w:rPr>
                <w:rFonts w:ascii="Times New Roman" w:eastAsia="Times New Roman" w:hAnsi="Times New Roman" w:cs="Times New Roman"/>
                <w:sz w:val="24"/>
                <w:szCs w:val="24"/>
              </w:rPr>
              <w:t>Seletuskirja on lisatud</w:t>
            </w:r>
            <w:r w:rsidR="002B2487" w:rsidRPr="002B2487">
              <w:rPr>
                <w:rFonts w:ascii="Times New Roman" w:eastAsia="Times New Roman" w:hAnsi="Times New Roman" w:cs="Times New Roman"/>
                <w:sz w:val="24"/>
                <w:szCs w:val="24"/>
              </w:rPr>
              <w:t xml:space="preserve"> </w:t>
            </w:r>
            <w:r w:rsidR="002B2487" w:rsidRPr="002B2487">
              <w:rPr>
                <w:rFonts w:ascii="Times New Roman" w:hAnsi="Times New Roman" w:cs="Times New Roman"/>
                <w:sz w:val="24"/>
                <w:szCs w:val="24"/>
              </w:rPr>
              <w:t>viide sotsiaalministri 7. detsembri 2012. a määrusele nr 47 ning selgitatud perearsti ja Tervisekassa ülesannete jaotust nimistusse registreerimisel ja määramisel.</w:t>
            </w:r>
          </w:p>
        </w:tc>
      </w:tr>
      <w:tr w:rsidR="00D41C0A" w14:paraId="3E245D29" w14:textId="77777777" w:rsidTr="2283B2C7">
        <w:tc>
          <w:tcPr>
            <w:tcW w:w="7432" w:type="dxa"/>
          </w:tcPr>
          <w:p w14:paraId="1A04914B" w14:textId="77777777" w:rsidR="009D4B3E" w:rsidRPr="009D4B3E" w:rsidRDefault="009D4B3E" w:rsidP="009D4B3E">
            <w:pPr>
              <w:jc w:val="both"/>
              <w:rPr>
                <w:rFonts w:ascii="Times New Roman" w:hAnsi="Times New Roman" w:cs="Times New Roman"/>
                <w:sz w:val="24"/>
                <w:szCs w:val="24"/>
              </w:rPr>
            </w:pPr>
            <w:r w:rsidRPr="009D4B3E">
              <w:rPr>
                <w:rFonts w:ascii="Times New Roman" w:hAnsi="Times New Roman" w:cs="Times New Roman"/>
                <w:sz w:val="24"/>
                <w:szCs w:val="24"/>
              </w:rPr>
              <w:t>Palume arvestada käesoleva kirja lisas esitatud eelnõu ja seletuskirja failis tehtud märkustega.</w:t>
            </w:r>
          </w:p>
          <w:p w14:paraId="3CDF4A9E" w14:textId="32DAC333" w:rsidR="00D41C0A" w:rsidRPr="007F701A" w:rsidRDefault="00D41C0A" w:rsidP="00D41C0A">
            <w:pPr>
              <w:jc w:val="both"/>
              <w:rPr>
                <w:rFonts w:ascii="Times New Roman" w:hAnsi="Times New Roman" w:cs="Times New Roman"/>
                <w:sz w:val="24"/>
                <w:szCs w:val="24"/>
              </w:rPr>
            </w:pPr>
          </w:p>
        </w:tc>
        <w:tc>
          <w:tcPr>
            <w:tcW w:w="7447" w:type="dxa"/>
          </w:tcPr>
          <w:p w14:paraId="5D3E67E3" w14:textId="504C7AF1" w:rsidR="00D41C0A" w:rsidRPr="009D4B3E" w:rsidRDefault="009D4B3E" w:rsidP="00D41C0A">
            <w:pPr>
              <w:jc w:val="both"/>
              <w:rPr>
                <w:rFonts w:ascii="Times New Roman" w:eastAsia="Times New Roman" w:hAnsi="Times New Roman" w:cs="Times New Roman"/>
                <w:sz w:val="24"/>
                <w:szCs w:val="24"/>
              </w:rPr>
            </w:pPr>
            <w:r w:rsidRPr="009D4B3E">
              <w:rPr>
                <w:rFonts w:ascii="Times New Roman" w:eastAsia="Times New Roman" w:hAnsi="Times New Roman" w:cs="Times New Roman"/>
                <w:sz w:val="24"/>
                <w:szCs w:val="24"/>
              </w:rPr>
              <w:t>Arvestatud, eelnõud ja seletuskirja täiendatud.</w:t>
            </w:r>
          </w:p>
        </w:tc>
      </w:tr>
      <w:tr w:rsidR="00D41C0A" w14:paraId="2E353FB3" w14:textId="77777777" w:rsidTr="2283B2C7">
        <w:tc>
          <w:tcPr>
            <w:tcW w:w="7432" w:type="dxa"/>
          </w:tcPr>
          <w:p w14:paraId="3544F8CC" w14:textId="0B8D0309" w:rsidR="00D41C0A" w:rsidRPr="007F701A" w:rsidRDefault="00D41C0A" w:rsidP="00D41C0A">
            <w:pPr>
              <w:jc w:val="center"/>
              <w:rPr>
                <w:rFonts w:ascii="Times New Roman" w:hAnsi="Times New Roman" w:cs="Times New Roman"/>
                <w:sz w:val="24"/>
                <w:szCs w:val="24"/>
              </w:rPr>
            </w:pPr>
            <w:r w:rsidRPr="002612F5">
              <w:rPr>
                <w:rFonts w:ascii="Times New Roman" w:eastAsia="Times New Roman" w:hAnsi="Times New Roman" w:cs="Times New Roman"/>
                <w:b/>
                <w:bCs/>
                <w:sz w:val="24"/>
                <w:szCs w:val="24"/>
              </w:rPr>
              <w:t>Esitatud märkused või ettepanekud</w:t>
            </w:r>
          </w:p>
        </w:tc>
        <w:tc>
          <w:tcPr>
            <w:tcW w:w="7447" w:type="dxa"/>
          </w:tcPr>
          <w:p w14:paraId="32096A06" w14:textId="3BBA1E93" w:rsidR="00D41C0A" w:rsidRDefault="00D41C0A" w:rsidP="00D41C0A">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D41C0A" w14:paraId="212C8568" w14:textId="77777777" w:rsidTr="2283B2C7">
        <w:tc>
          <w:tcPr>
            <w:tcW w:w="14879" w:type="dxa"/>
            <w:gridSpan w:val="2"/>
          </w:tcPr>
          <w:p w14:paraId="3505236B" w14:textId="0875B9D5" w:rsidR="00D41C0A" w:rsidRDefault="25656D49" w:rsidP="00D41C0A">
            <w:pPr>
              <w:jc w:val="center"/>
            </w:pPr>
            <w:r w:rsidRPr="2283B2C7">
              <w:rPr>
                <w:rFonts w:ascii="Times New Roman" w:eastAsia="Times New Roman" w:hAnsi="Times New Roman" w:cs="Times New Roman"/>
                <w:b/>
                <w:bCs/>
                <w:sz w:val="24"/>
                <w:szCs w:val="24"/>
              </w:rPr>
              <w:t>Eesti Linnade ja Valdade Liit</w:t>
            </w:r>
          </w:p>
        </w:tc>
      </w:tr>
      <w:tr w:rsidR="00D41C0A" w14:paraId="5FFB16DA" w14:textId="77777777" w:rsidTr="2283B2C7">
        <w:tc>
          <w:tcPr>
            <w:tcW w:w="7432" w:type="dxa"/>
          </w:tcPr>
          <w:p w14:paraId="0F5B8535" w14:textId="6E11C618" w:rsidR="00D41C0A" w:rsidRPr="007F701A" w:rsidRDefault="6CDF2811" w:rsidP="2283B2C7">
            <w:pPr>
              <w:jc w:val="both"/>
            </w:pPr>
            <w:r w:rsidRPr="2283B2C7">
              <w:rPr>
                <w:rFonts w:ascii="Times New Roman" w:eastAsia="Times New Roman" w:hAnsi="Times New Roman" w:cs="Times New Roman"/>
                <w:sz w:val="24"/>
                <w:szCs w:val="24"/>
              </w:rPr>
              <w:t>Eelnõu § 1 punkti 11 kohaselt täiendatakse tervishoiuteenuste korraldamise seadust (edaspidi TTKS) §-ga 15</w:t>
            </w:r>
            <w:r w:rsidRPr="2283B2C7">
              <w:rPr>
                <w:rFonts w:ascii="Times New Roman" w:eastAsia="Times New Roman" w:hAnsi="Times New Roman" w:cs="Times New Roman"/>
                <w:sz w:val="24"/>
                <w:szCs w:val="24"/>
                <w:vertAlign w:val="superscript"/>
              </w:rPr>
              <w:t>2</w:t>
            </w:r>
            <w:r w:rsidRPr="2283B2C7">
              <w:rPr>
                <w:rFonts w:ascii="Times New Roman" w:eastAsia="Times New Roman" w:hAnsi="Times New Roman" w:cs="Times New Roman"/>
                <w:sz w:val="24"/>
                <w:szCs w:val="24"/>
              </w:rPr>
              <w:t xml:space="preserve">, mille kohaselt peab tervisekeskuses tegutsevad perearstiabi osutajad tagama perearsti asenduse kuni kolmeks kuuks, kui perearstilt on TTKS §-s 37 nimetatud alusel nimistu ära võetud (v.a kui esinevad §-s 152 punktides 1-2 nimetatud olukorrad). Eelnõuga laiendatakse oluliselt tervisekeskuste vastutust: tervisekeskusele pannakse kohustus korraldada ajutiselt perearstita jäänud nimistu teenindamise asendus. Perearstide puudus on süsteemne probleem ning tervisekeskusele asenduse tagamise kohustuse kehtestamine ei tekita piirkonda täiendavaid </w:t>
            </w:r>
            <w:r w:rsidRPr="2283B2C7">
              <w:rPr>
                <w:rFonts w:ascii="Times New Roman" w:eastAsia="Times New Roman" w:hAnsi="Times New Roman" w:cs="Times New Roman"/>
                <w:sz w:val="24"/>
                <w:szCs w:val="24"/>
              </w:rPr>
              <w:lastRenderedPageBreak/>
              <w:t xml:space="preserve">arste. Tervisekeskusele ei saa panna kohustust, mille täitmine ei pruugi objektiivselt olla tema võimuses. Tervisekeskuse roll peaks olema nimistu ajutise teenindamiseks koostöö korraldamine, mitte tingimusteta kohustus tagada perearsti asendus. Seaduse eelnõu mõjud teenuseosutajatele Eelnõu seletuskirjas (lk 12) on mõju teenuseosutajatele hinnatud järgmiselt: „Kokkuvõttes on mõju teenuseosutajatele erineva ulatusega. Tervisekeskustele kaasneb eelkõige töökorralduslik mõju seoses nimistu ajutise teenindamise kohustuse ja nimistuga perearsti lahkumise etteteatamisega, samal ajal parandab </w:t>
            </w:r>
            <w:proofErr w:type="spellStart"/>
            <w:r w:rsidRPr="2283B2C7">
              <w:rPr>
                <w:rFonts w:ascii="Times New Roman" w:eastAsia="Times New Roman" w:hAnsi="Times New Roman" w:cs="Times New Roman"/>
                <w:sz w:val="24"/>
                <w:szCs w:val="24"/>
              </w:rPr>
              <w:t>etteteatamiskohustus</w:t>
            </w:r>
            <w:proofErr w:type="spellEnd"/>
            <w:r w:rsidRPr="2283B2C7">
              <w:rPr>
                <w:rFonts w:ascii="Times New Roman" w:eastAsia="Times New Roman" w:hAnsi="Times New Roman" w:cs="Times New Roman"/>
                <w:sz w:val="24"/>
                <w:szCs w:val="24"/>
              </w:rPr>
              <w:t xml:space="preserve"> tervisekeskuste võimalust oma tegevust planeerida. Nimistu ajutise teenindamise muudatusega olulist mõju ega täiendavaid kulusid ei kaasne. Perearstiabi osutavatele äriühingutele, kes ei täida tervisekeskuse ülesandeid, on mõju väiksem ning avaldub eelkõige asenduse korraldamise nõuete täpsustumises.“ Ei saa nõustuda seletuskirjas toodud hinnanguga, et nimistu ajutise teenindamise kohustusega ei kaasne tervisekeskustele olulist mõju ega täiendavaid kulusid. Arsti asendamise korraldamine eeldab personali, ruumide, tugiteenuste ja juhtimisressursi kasutamist ning sellega kaasneb täiendav organisatsiooniline ja majanduslik koormus. Eelnõust tervikuna ilmneb suund, mille kohaselt suureneb tervisekeskuste roll perearstiabi järjepidevuse ja toimepidevuse tagamisel. Suurema vastutusega peavad kaasnema ka vastavad õigused, ressursid ja rahastus. Seaduse eelnõus kavandatud uued kohustused peaksid arvestama sellega, et Tervisekassa tervishoiukorralduslikku vastutust ega süsteemsest perearstide puudusest tulenevat riski ei kantaks järk-järgult üle tervisekeskustele ilma selgelt määratletud pädevuse, vastutuse piiride ja rahastuseta.</w:t>
            </w:r>
          </w:p>
        </w:tc>
        <w:tc>
          <w:tcPr>
            <w:tcW w:w="7447" w:type="dxa"/>
          </w:tcPr>
          <w:p w14:paraId="4D5A16C4" w14:textId="298322F4" w:rsidR="00D41C0A" w:rsidRPr="00BB6406" w:rsidRDefault="227E8B68" w:rsidP="00D41C0A">
            <w:pPr>
              <w:jc w:val="both"/>
            </w:pPr>
            <w:r w:rsidRPr="2283B2C7">
              <w:rPr>
                <w:rFonts w:ascii="Times New Roman" w:eastAsia="Times New Roman" w:hAnsi="Times New Roman" w:cs="Times New Roman"/>
                <w:sz w:val="24"/>
                <w:szCs w:val="24"/>
              </w:rPr>
              <w:lastRenderedPageBreak/>
              <w:t>Selgitame</w:t>
            </w:r>
          </w:p>
          <w:p w14:paraId="0047713E" w14:textId="5B91DB73" w:rsidR="00D41C0A" w:rsidRPr="00BB6406" w:rsidRDefault="227E8B68"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Kavandatava TTKS § 15² eesmärk ei ole panna tervisekeskustele vastutust süsteemse perearstide puuduse lahendamise eest, vaid tugevdada piirkondlikku koostööd ja tagada perearstiabi järjepidevus olukordades, kus nimistul</w:t>
            </w:r>
            <w:r w:rsidR="006124D1">
              <w:rPr>
                <w:rFonts w:ascii="Times New Roman" w:eastAsia="Times New Roman" w:hAnsi="Times New Roman" w:cs="Times New Roman"/>
                <w:sz w:val="24"/>
                <w:szCs w:val="24"/>
              </w:rPr>
              <w:t>e ei osuta teenust enam</w:t>
            </w:r>
            <w:r w:rsidRPr="2283B2C7">
              <w:rPr>
                <w:rFonts w:ascii="Times New Roman" w:eastAsia="Times New Roman" w:hAnsi="Times New Roman" w:cs="Times New Roman"/>
                <w:sz w:val="24"/>
                <w:szCs w:val="24"/>
              </w:rPr>
              <w:t xml:space="preserve"> perearst ning patsientidele tuleb ajutiselt tagada teenuse osutamine. Kohustust rakendatakse üksnes piiratud ajaks</w:t>
            </w:r>
            <w:r w:rsidR="773E7654" w:rsidRPr="2283B2C7">
              <w:rPr>
                <w:rFonts w:ascii="Times New Roman" w:eastAsia="Times New Roman" w:hAnsi="Times New Roman" w:cs="Times New Roman"/>
                <w:sz w:val="24"/>
                <w:szCs w:val="24"/>
              </w:rPr>
              <w:t>.</w:t>
            </w:r>
          </w:p>
          <w:p w14:paraId="556E31C1" w14:textId="4C426A7C" w:rsidR="00D41C0A" w:rsidRPr="00BB6406" w:rsidRDefault="227E8B68"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 xml:space="preserve">Seletuskirjas esitatud hinnangu kohaselt on muudatuse peamine mõju tervisekeskuste töökorralduslik ning selle eesmärk on kasutada tervisekeskuse mudelist tulenevaid võimalusi ressursside paindlikumaks </w:t>
            </w:r>
            <w:r w:rsidRPr="2283B2C7">
              <w:rPr>
                <w:rFonts w:ascii="Times New Roman" w:eastAsia="Times New Roman" w:hAnsi="Times New Roman" w:cs="Times New Roman"/>
                <w:sz w:val="24"/>
                <w:szCs w:val="24"/>
              </w:rPr>
              <w:lastRenderedPageBreak/>
              <w:t>rakendamiseks ja teenuse osutamise järjepidevuse tagamiseks. Samas nõustume, et muudatus võib teatud juhtudel kaasa tuua täiendavat korralduslikku koormust ning selle rakendamise mõju jälgitakse praktikas.</w:t>
            </w:r>
          </w:p>
          <w:p w14:paraId="7F6924F1" w14:textId="52E22529" w:rsidR="00D41C0A" w:rsidRPr="00BB6406" w:rsidRDefault="227E8B68"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Tervisekeskustele pandud kohustus ei vabasta Tervisekassat, Terviseametit ega teisi asjaomaseid osapooli nende seadusest tulenevatest ülesannetest. Perearstiabi toimepidevuse tagamine eeldab jätkuvalt eri osapoolte koostööd ning vastutuse jagamist.</w:t>
            </w:r>
          </w:p>
          <w:p w14:paraId="113F1CE6" w14:textId="03E10DD4" w:rsidR="00387A74" w:rsidRPr="00BB6406" w:rsidRDefault="00387A74" w:rsidP="2283B2C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Lisaks on välja</w:t>
            </w:r>
            <w:r w:rsidR="008D3EC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öötamisel perearstiabi </w:t>
            </w:r>
            <w:r w:rsidR="00BA084A">
              <w:rPr>
                <w:rFonts w:ascii="Times New Roman" w:eastAsia="Times New Roman" w:hAnsi="Times New Roman" w:cs="Times New Roman"/>
                <w:sz w:val="24"/>
                <w:szCs w:val="24"/>
              </w:rPr>
              <w:t>riski- ja kriis</w:t>
            </w:r>
            <w:r w:rsidR="002A7449">
              <w:rPr>
                <w:rFonts w:ascii="Times New Roman" w:eastAsia="Times New Roman" w:hAnsi="Times New Roman" w:cs="Times New Roman"/>
                <w:sz w:val="24"/>
                <w:szCs w:val="24"/>
              </w:rPr>
              <w:t>i</w:t>
            </w:r>
            <w:r w:rsidR="00BA084A">
              <w:rPr>
                <w:rFonts w:ascii="Times New Roman" w:eastAsia="Times New Roman" w:hAnsi="Times New Roman" w:cs="Times New Roman"/>
                <w:sz w:val="24"/>
                <w:szCs w:val="24"/>
              </w:rPr>
              <w:t>piirkon</w:t>
            </w:r>
            <w:r w:rsidR="008D3EC5">
              <w:rPr>
                <w:rFonts w:ascii="Times New Roman" w:eastAsia="Times New Roman" w:hAnsi="Times New Roman" w:cs="Times New Roman"/>
                <w:sz w:val="24"/>
                <w:szCs w:val="24"/>
              </w:rPr>
              <w:t>dade</w:t>
            </w:r>
            <w:r w:rsidR="008F470C">
              <w:rPr>
                <w:rFonts w:ascii="Times New Roman" w:eastAsia="Times New Roman" w:hAnsi="Times New Roman" w:cs="Times New Roman"/>
                <w:sz w:val="24"/>
                <w:szCs w:val="24"/>
              </w:rPr>
              <w:t xml:space="preserve">le </w:t>
            </w:r>
            <w:r w:rsidR="002A7449">
              <w:rPr>
                <w:rFonts w:ascii="Times New Roman" w:eastAsia="Times New Roman" w:hAnsi="Times New Roman" w:cs="Times New Roman"/>
                <w:sz w:val="24"/>
                <w:szCs w:val="24"/>
              </w:rPr>
              <w:t>meetmete määramise metoodika</w:t>
            </w:r>
            <w:r w:rsidR="006124D1">
              <w:rPr>
                <w:rFonts w:ascii="Times New Roman" w:eastAsia="Times New Roman" w:hAnsi="Times New Roman" w:cs="Times New Roman"/>
                <w:sz w:val="24"/>
                <w:szCs w:val="24"/>
              </w:rPr>
              <w:t xml:space="preserve"> ning käesolev</w:t>
            </w:r>
            <w:r w:rsidR="008D3EC5">
              <w:rPr>
                <w:rFonts w:ascii="Times New Roman" w:eastAsia="Times New Roman" w:hAnsi="Times New Roman" w:cs="Times New Roman"/>
                <w:sz w:val="24"/>
                <w:szCs w:val="24"/>
              </w:rPr>
              <w:t xml:space="preserve"> säte</w:t>
            </w:r>
            <w:r w:rsidR="00DB6ED1">
              <w:rPr>
                <w:rFonts w:ascii="Times New Roman" w:eastAsia="Times New Roman" w:hAnsi="Times New Roman" w:cs="Times New Roman"/>
                <w:sz w:val="24"/>
                <w:szCs w:val="24"/>
              </w:rPr>
              <w:t xml:space="preserve"> on üks meetmetest</w:t>
            </w:r>
            <w:r w:rsidR="008B3D16">
              <w:rPr>
                <w:rFonts w:ascii="Times New Roman" w:eastAsia="Times New Roman" w:hAnsi="Times New Roman" w:cs="Times New Roman"/>
                <w:sz w:val="24"/>
                <w:szCs w:val="24"/>
              </w:rPr>
              <w:t xml:space="preserve"> perearstiabi jätkusuutlikkuse tagamisel. </w:t>
            </w:r>
          </w:p>
          <w:p w14:paraId="45120949" w14:textId="5C9DE5B8" w:rsidR="00D41C0A" w:rsidRPr="00BB6406" w:rsidRDefault="00D41C0A" w:rsidP="00D41C0A">
            <w:pPr>
              <w:jc w:val="both"/>
              <w:rPr>
                <w:rFonts w:ascii="Times New Roman" w:eastAsia="Times New Roman" w:hAnsi="Times New Roman" w:cs="Times New Roman"/>
                <w:sz w:val="24"/>
                <w:szCs w:val="24"/>
              </w:rPr>
            </w:pPr>
          </w:p>
        </w:tc>
      </w:tr>
      <w:tr w:rsidR="00D41C0A" w14:paraId="2C8ADFD2" w14:textId="77777777" w:rsidTr="2283B2C7">
        <w:tc>
          <w:tcPr>
            <w:tcW w:w="7432" w:type="dxa"/>
          </w:tcPr>
          <w:p w14:paraId="1CB7BCAD" w14:textId="187C6816" w:rsidR="00D41C0A" w:rsidRPr="007F701A" w:rsidRDefault="6CDF2811" w:rsidP="2283B2C7">
            <w:pPr>
              <w:jc w:val="both"/>
            </w:pPr>
            <w:r w:rsidRPr="2283B2C7">
              <w:rPr>
                <w:rFonts w:ascii="Times New Roman" w:eastAsia="Times New Roman" w:hAnsi="Times New Roman" w:cs="Times New Roman"/>
                <w:sz w:val="24"/>
                <w:szCs w:val="24"/>
              </w:rPr>
              <w:lastRenderedPageBreak/>
              <w:t xml:space="preserve">Eelnõu § 1 p 12 kohaselt lühendatakse TTKS § 37 lõikes 2 tähtaega, mille möödumisel võib Terviseamet perearstilt teenuse osutamise katkemise tõttu nimistu ära võtta, 60 kalendripäevalt 30 kalendripäevale. Kiirem reageerimine on patsientide seisukohast igati tervitatav, kuid </w:t>
            </w:r>
            <w:proofErr w:type="spellStart"/>
            <w:r w:rsidRPr="2283B2C7">
              <w:rPr>
                <w:rFonts w:ascii="Times New Roman" w:eastAsia="Times New Roman" w:hAnsi="Times New Roman" w:cs="Times New Roman"/>
                <w:sz w:val="24"/>
                <w:szCs w:val="24"/>
              </w:rPr>
              <w:t>hajaasustusega</w:t>
            </w:r>
            <w:proofErr w:type="spellEnd"/>
            <w:r w:rsidRPr="2283B2C7">
              <w:rPr>
                <w:rFonts w:ascii="Times New Roman" w:eastAsia="Times New Roman" w:hAnsi="Times New Roman" w:cs="Times New Roman"/>
                <w:sz w:val="24"/>
                <w:szCs w:val="24"/>
              </w:rPr>
              <w:t xml:space="preserve"> ja arstide nappusega piirkondades võib lühenenud tähtaeg tähendada, et kohapealne asendus- või ümberkorralduslahendus ei jõua sama kiiresti valmida kui varem. Palume tagada, et lühenenud tähtajaga kaasneks ka </w:t>
            </w:r>
            <w:r w:rsidRPr="2283B2C7">
              <w:rPr>
                <w:rFonts w:ascii="Times New Roman" w:eastAsia="Times New Roman" w:hAnsi="Times New Roman" w:cs="Times New Roman"/>
                <w:sz w:val="24"/>
                <w:szCs w:val="24"/>
              </w:rPr>
              <w:lastRenderedPageBreak/>
              <w:t>Tervisekassa ja tervisekeskuste (§ 15² kavandatud regulatsioon) suutlikkus asendus reaalselt kiiremini käivitada, et vältida teenusekatkestuste tekkimist just maapiirkondades, kus alternatiivseid perearste napib.</w:t>
            </w:r>
          </w:p>
        </w:tc>
        <w:tc>
          <w:tcPr>
            <w:tcW w:w="7447" w:type="dxa"/>
          </w:tcPr>
          <w:p w14:paraId="57B2CC10" w14:textId="6517C629" w:rsidR="00D41C0A" w:rsidRPr="00624B89" w:rsidRDefault="3E642F3C" w:rsidP="00D41C0A">
            <w:pPr>
              <w:jc w:val="both"/>
            </w:pPr>
            <w:r w:rsidRPr="2283B2C7">
              <w:rPr>
                <w:rFonts w:ascii="Times New Roman" w:eastAsia="Times New Roman" w:hAnsi="Times New Roman" w:cs="Times New Roman"/>
                <w:sz w:val="24"/>
                <w:szCs w:val="24"/>
              </w:rPr>
              <w:lastRenderedPageBreak/>
              <w:t>Selgitame</w:t>
            </w:r>
          </w:p>
          <w:p w14:paraId="5A619CEE" w14:textId="5C0AD2F5" w:rsidR="00D41C0A" w:rsidRPr="00624B89" w:rsidRDefault="3E642F3C"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 xml:space="preserve">Tähtaja lühendamise eesmärk on tagada patsientidele kiiremini toimiv perearstiabi korraldus olukordades, kus nimistu teenindamine on katkenud. Teenuse järjepidevuse tagamisel teevad koostööd Terviseamet, Tervisekassa ning vajaduse korral teised piirkondlikud teenuseosutajad. Muudatuse rakendamisel arvestatakse ka </w:t>
            </w:r>
            <w:proofErr w:type="spellStart"/>
            <w:r w:rsidRPr="2283B2C7">
              <w:rPr>
                <w:rFonts w:ascii="Times New Roman" w:eastAsia="Times New Roman" w:hAnsi="Times New Roman" w:cs="Times New Roman"/>
                <w:sz w:val="24"/>
                <w:szCs w:val="24"/>
              </w:rPr>
              <w:t>hajaasustusega</w:t>
            </w:r>
            <w:proofErr w:type="spellEnd"/>
            <w:r w:rsidRPr="2283B2C7">
              <w:rPr>
                <w:rFonts w:ascii="Times New Roman" w:eastAsia="Times New Roman" w:hAnsi="Times New Roman" w:cs="Times New Roman"/>
                <w:sz w:val="24"/>
                <w:szCs w:val="24"/>
              </w:rPr>
              <w:t xml:space="preserve"> piirkondade eripäraga, et vältida teenusekatkestusi.</w:t>
            </w:r>
          </w:p>
          <w:p w14:paraId="4BB1ED1E" w14:textId="4801F601" w:rsidR="00FC2B3B" w:rsidRPr="00624B89" w:rsidRDefault="00FC2B3B" w:rsidP="2283B2C7">
            <w:pPr>
              <w:jc w:val="both"/>
              <w:rPr>
                <w:rFonts w:ascii="Times New Roman" w:eastAsia="Times New Roman" w:hAnsi="Times New Roman" w:cs="Times New Roman"/>
                <w:sz w:val="24"/>
                <w:szCs w:val="24"/>
              </w:rPr>
            </w:pPr>
          </w:p>
          <w:p w14:paraId="4FCDFDB5" w14:textId="2A1AF5A0" w:rsidR="00D41C0A" w:rsidRPr="00624B89" w:rsidRDefault="00D41C0A" w:rsidP="00D41C0A">
            <w:pPr>
              <w:jc w:val="both"/>
              <w:rPr>
                <w:rFonts w:ascii="Times New Roman" w:eastAsia="Times New Roman" w:hAnsi="Times New Roman" w:cs="Times New Roman"/>
                <w:sz w:val="24"/>
                <w:szCs w:val="24"/>
              </w:rPr>
            </w:pPr>
          </w:p>
        </w:tc>
      </w:tr>
      <w:tr w:rsidR="00D41C0A" w14:paraId="3CE2900E" w14:textId="77777777" w:rsidTr="2283B2C7">
        <w:tc>
          <w:tcPr>
            <w:tcW w:w="7432" w:type="dxa"/>
          </w:tcPr>
          <w:p w14:paraId="1F2AD112" w14:textId="34C3B630" w:rsidR="00D41C0A" w:rsidRPr="007F701A" w:rsidRDefault="6CDF2811" w:rsidP="2283B2C7">
            <w:pPr>
              <w:jc w:val="both"/>
            </w:pPr>
            <w:r w:rsidRPr="2283B2C7">
              <w:rPr>
                <w:rFonts w:ascii="Times New Roman" w:eastAsia="Times New Roman" w:hAnsi="Times New Roman" w:cs="Times New Roman"/>
                <w:sz w:val="24"/>
                <w:szCs w:val="24"/>
              </w:rPr>
              <w:lastRenderedPageBreak/>
              <w:t>Eelnõu § 1 punktiga 8, millega kehtestatakse TTKS § 9</w:t>
            </w:r>
            <w:r w:rsidRPr="2283B2C7">
              <w:rPr>
                <w:rFonts w:ascii="Times New Roman" w:eastAsia="Times New Roman" w:hAnsi="Times New Roman" w:cs="Times New Roman"/>
                <w:sz w:val="24"/>
                <w:szCs w:val="24"/>
                <w:vertAlign w:val="superscript"/>
              </w:rPr>
              <w:t>2</w:t>
            </w:r>
            <w:r w:rsidRPr="2283B2C7">
              <w:rPr>
                <w:rFonts w:ascii="Times New Roman" w:eastAsia="Times New Roman" w:hAnsi="Times New Roman" w:cs="Times New Roman"/>
                <w:sz w:val="24"/>
                <w:szCs w:val="24"/>
              </w:rPr>
              <w:t>, luuakse volitusnorm riski- ja kriisipiirkondade määramise aluste ja regionaalsete meetmete kehtestamiseks (rakendusakti kavand, Lisa 3). Kavandatud määruse § 5 kohaselt moodustab minister riski- ja kriisipiirkondade nõukogu, mille koosseisu kuuluvad senise kavandi järgi minister ja Tervisekassa, ilma kohaliku omavalitsuse esindatuseta. ELVL on jätkuvalt seisukohal, et nõukogu koosseisus peab olema kaasatud riski- ja kriisipiirkonna kohaliku omavalitsuse esindaja. Kohalik omavalitsus omab vahetut teadmist piirkonna tööjõuolukorrast, elamispinna ja taristu võimalustest ning transpordiühendustest, mis on riski- ja kriisipiirkonna meetmete (kavandatud määruse § 4:tegevus-, tööleasumis- ja arendustoetused, nimistute ajutine ümberkorraldamine) väljatöötamisel ja rakendamisel olulised sisendid. Palume täpsustada, kas ja millises vormis konsulteeritakse asjaomase omavalitsusüksusega enne piirkonnale riski- või kriisipiirkonna staatuse andmist või selle muutmist.</w:t>
            </w:r>
          </w:p>
        </w:tc>
        <w:tc>
          <w:tcPr>
            <w:tcW w:w="7447" w:type="dxa"/>
          </w:tcPr>
          <w:p w14:paraId="5E3ED1AC" w14:textId="2639B3AE" w:rsidR="00D41C0A" w:rsidRDefault="3195C803" w:rsidP="2283B2C7">
            <w:pPr>
              <w:jc w:val="both"/>
              <w:rPr>
                <w:rFonts w:ascii="Times New Roman" w:eastAsia="Times New Roman" w:hAnsi="Times New Roman" w:cs="Times New Roman"/>
                <w:color w:val="000000" w:themeColor="text1"/>
                <w:sz w:val="24"/>
                <w:szCs w:val="24"/>
              </w:rPr>
            </w:pPr>
            <w:r w:rsidRPr="2283B2C7">
              <w:rPr>
                <w:rFonts w:ascii="Times New Roman" w:eastAsia="Times New Roman" w:hAnsi="Times New Roman" w:cs="Times New Roman"/>
                <w:color w:val="000000" w:themeColor="text1"/>
                <w:sz w:val="24"/>
                <w:szCs w:val="24"/>
              </w:rPr>
              <w:t>Selgitame</w:t>
            </w:r>
          </w:p>
          <w:p w14:paraId="550CAA69" w14:textId="30A14A73" w:rsidR="00D41C0A" w:rsidRDefault="3195C803" w:rsidP="2283B2C7">
            <w:pPr>
              <w:jc w:val="both"/>
              <w:rPr>
                <w:rFonts w:ascii="Times New Roman" w:eastAsia="Times New Roman" w:hAnsi="Times New Roman" w:cs="Times New Roman"/>
                <w:color w:val="000000" w:themeColor="text1"/>
                <w:sz w:val="24"/>
                <w:szCs w:val="24"/>
              </w:rPr>
            </w:pPr>
            <w:r w:rsidRPr="2283B2C7">
              <w:rPr>
                <w:rFonts w:ascii="Times New Roman" w:eastAsia="Times New Roman" w:hAnsi="Times New Roman" w:cs="Times New Roman"/>
                <w:color w:val="000000" w:themeColor="text1"/>
                <w:sz w:val="24"/>
                <w:szCs w:val="24"/>
              </w:rPr>
              <w:t>Ettepanek on täiendaval analüüsil ning lõplik lahendus kujundatakse rakendusakti koostamise käigus.</w:t>
            </w:r>
          </w:p>
          <w:p w14:paraId="48A35437" w14:textId="6A183064" w:rsidR="00D41C0A" w:rsidRDefault="00D41C0A" w:rsidP="00D41C0A">
            <w:pPr>
              <w:jc w:val="both"/>
              <w:rPr>
                <w:rFonts w:ascii="Times New Roman" w:eastAsia="Times New Roman" w:hAnsi="Times New Roman" w:cs="Times New Roman"/>
                <w:b/>
                <w:bCs/>
                <w:sz w:val="24"/>
                <w:szCs w:val="24"/>
              </w:rPr>
            </w:pPr>
          </w:p>
        </w:tc>
      </w:tr>
      <w:tr w:rsidR="00D41C0A" w14:paraId="7999661B" w14:textId="77777777" w:rsidTr="2283B2C7">
        <w:tc>
          <w:tcPr>
            <w:tcW w:w="7432" w:type="dxa"/>
          </w:tcPr>
          <w:p w14:paraId="509F26DE" w14:textId="0D515C78" w:rsidR="00D41C0A" w:rsidRPr="007F701A" w:rsidRDefault="6CDF2811" w:rsidP="2283B2C7">
            <w:pPr>
              <w:jc w:val="both"/>
            </w:pPr>
            <w:r w:rsidRPr="2283B2C7">
              <w:rPr>
                <w:rFonts w:ascii="Times New Roman" w:eastAsia="Times New Roman" w:hAnsi="Times New Roman" w:cs="Times New Roman"/>
                <w:sz w:val="24"/>
                <w:szCs w:val="24"/>
              </w:rPr>
              <w:t>Eelnõu on koostatud õigusakti 03.06.2026. a kehtiva redaktsiooni alusel. Eelnõu koostajal tuleb eelnõu üle vaadata ja jälgida, et see on kooskõlas 01.01.2027. a jõustuva redaktsiooniga.</w:t>
            </w:r>
          </w:p>
        </w:tc>
        <w:tc>
          <w:tcPr>
            <w:tcW w:w="7447" w:type="dxa"/>
          </w:tcPr>
          <w:p w14:paraId="04A2EE37" w14:textId="1C8A9E75" w:rsidR="00D41C0A" w:rsidRPr="00624B89" w:rsidRDefault="6504CF63" w:rsidP="00D41C0A">
            <w:pPr>
              <w:jc w:val="both"/>
            </w:pPr>
            <w:r w:rsidRPr="2283B2C7">
              <w:rPr>
                <w:rFonts w:ascii="Times New Roman" w:eastAsia="Times New Roman" w:hAnsi="Times New Roman" w:cs="Times New Roman"/>
                <w:sz w:val="24"/>
                <w:szCs w:val="24"/>
              </w:rPr>
              <w:t>Arvestame</w:t>
            </w:r>
          </w:p>
        </w:tc>
      </w:tr>
      <w:tr w:rsidR="00D41C0A" w14:paraId="07AFF402" w14:textId="77777777" w:rsidTr="2283B2C7">
        <w:tc>
          <w:tcPr>
            <w:tcW w:w="7432" w:type="dxa"/>
          </w:tcPr>
          <w:p w14:paraId="1511053D" w14:textId="7936EF30" w:rsidR="00D41C0A" w:rsidRPr="007F701A" w:rsidRDefault="6CDF2811" w:rsidP="2283B2C7">
            <w:pPr>
              <w:jc w:val="both"/>
            </w:pPr>
            <w:r w:rsidRPr="2283B2C7">
              <w:rPr>
                <w:rFonts w:ascii="Times New Roman" w:eastAsia="Times New Roman" w:hAnsi="Times New Roman" w:cs="Times New Roman"/>
                <w:sz w:val="24"/>
                <w:szCs w:val="24"/>
              </w:rPr>
              <w:t>Kehtiva seaduse alusel ei ole perearstil õigust erakorraliselt keelduda patsiendi nimistusse võtmisest. Kahjuks on aga selliste juhtumite arv kasvav ja tulemuseks on, et perearst loobub nimistust ja oma ametist. Kuidas tagada perearstile kaitse ebastabiilse ja ohtliku käitumisega patsiendi eest?</w:t>
            </w:r>
          </w:p>
        </w:tc>
        <w:tc>
          <w:tcPr>
            <w:tcW w:w="7447" w:type="dxa"/>
          </w:tcPr>
          <w:p w14:paraId="3ECDD84E" w14:textId="77777777" w:rsidR="00D41C0A" w:rsidRPr="00624B89" w:rsidRDefault="0C8C3013"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Selgitame</w:t>
            </w:r>
          </w:p>
          <w:p w14:paraId="4902B393" w14:textId="031DD83F" w:rsidR="00D41C0A" w:rsidRPr="00624B89" w:rsidRDefault="0C8C3013"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Nimistust väljaarvamisega seotud küsimused vajavad põhjalikumat analüüsi ning on kavandatud aruteluks järgmistes TTKS-i muutmisringides. Seetõttu ei käsitleta nimetatud küsimust käesoleva eelnõu raames.</w:t>
            </w:r>
          </w:p>
        </w:tc>
      </w:tr>
    </w:tbl>
    <w:p w14:paraId="2D705FEE" w14:textId="77777777" w:rsidR="008D75E1" w:rsidRPr="005B5C1E" w:rsidRDefault="008D75E1" w:rsidP="0025369E">
      <w:pPr>
        <w:jc w:val="both"/>
        <w:rPr>
          <w:rFonts w:ascii="Times New Roman" w:eastAsia="Times New Roman" w:hAnsi="Times New Roman" w:cs="Times New Roman"/>
          <w:sz w:val="24"/>
          <w:szCs w:val="24"/>
        </w:rPr>
      </w:pPr>
    </w:p>
    <w:p w14:paraId="42CC1256" w14:textId="77777777" w:rsidR="0025369E" w:rsidRPr="00C742F6" w:rsidRDefault="0025369E" w:rsidP="0025369E">
      <w:pPr>
        <w:rPr>
          <w:rFonts w:ascii="Times New Roman" w:hAnsi="Times New Roman" w:cs="Times New Roman"/>
          <w:sz w:val="24"/>
          <w:szCs w:val="24"/>
        </w:rPr>
      </w:pPr>
    </w:p>
    <w:p w14:paraId="7A0B6361" w14:textId="77777777" w:rsidR="00FA65B8" w:rsidRDefault="00FA65B8"/>
    <w:sectPr w:rsidR="00FA65B8" w:rsidSect="000878C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2A2A0" w14:textId="77777777" w:rsidR="00683B49" w:rsidRDefault="00683B49" w:rsidP="00366974">
      <w:r>
        <w:separator/>
      </w:r>
    </w:p>
  </w:endnote>
  <w:endnote w:type="continuationSeparator" w:id="0">
    <w:p w14:paraId="662A3F87" w14:textId="77777777" w:rsidR="00683B49" w:rsidRDefault="00683B49" w:rsidP="0036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FEF0" w14:textId="77777777" w:rsidR="00683B49" w:rsidRDefault="00683B49" w:rsidP="00366974">
      <w:r>
        <w:separator/>
      </w:r>
    </w:p>
  </w:footnote>
  <w:footnote w:type="continuationSeparator" w:id="0">
    <w:p w14:paraId="5DA47A73" w14:textId="77777777" w:rsidR="00683B49" w:rsidRDefault="00683B49" w:rsidP="00366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D0A3"/>
    <w:multiLevelType w:val="hybridMultilevel"/>
    <w:tmpl w:val="9BA0D314"/>
    <w:lvl w:ilvl="0" w:tplc="5E9272EC">
      <w:start w:val="1"/>
      <w:numFmt w:val="bullet"/>
      <w:lvlText w:val=""/>
      <w:lvlJc w:val="left"/>
      <w:pPr>
        <w:ind w:left="720" w:hanging="360"/>
      </w:pPr>
      <w:rPr>
        <w:rFonts w:ascii="Symbol" w:hAnsi="Symbol" w:hint="default"/>
      </w:rPr>
    </w:lvl>
    <w:lvl w:ilvl="1" w:tplc="5B0C4280">
      <w:start w:val="1"/>
      <w:numFmt w:val="bullet"/>
      <w:lvlText w:val="o"/>
      <w:lvlJc w:val="left"/>
      <w:pPr>
        <w:ind w:left="1440" w:hanging="360"/>
      </w:pPr>
      <w:rPr>
        <w:rFonts w:ascii="Courier New" w:hAnsi="Courier New" w:hint="default"/>
      </w:rPr>
    </w:lvl>
    <w:lvl w:ilvl="2" w:tplc="9132B00E">
      <w:start w:val="1"/>
      <w:numFmt w:val="bullet"/>
      <w:lvlText w:val=""/>
      <w:lvlJc w:val="left"/>
      <w:pPr>
        <w:ind w:left="2160" w:hanging="360"/>
      </w:pPr>
      <w:rPr>
        <w:rFonts w:ascii="Wingdings" w:hAnsi="Wingdings" w:hint="default"/>
      </w:rPr>
    </w:lvl>
    <w:lvl w:ilvl="3" w:tplc="8F543466">
      <w:start w:val="1"/>
      <w:numFmt w:val="bullet"/>
      <w:lvlText w:val=""/>
      <w:lvlJc w:val="left"/>
      <w:pPr>
        <w:ind w:left="2880" w:hanging="360"/>
      </w:pPr>
      <w:rPr>
        <w:rFonts w:ascii="Symbol" w:hAnsi="Symbol" w:hint="default"/>
      </w:rPr>
    </w:lvl>
    <w:lvl w:ilvl="4" w:tplc="747AFC30">
      <w:start w:val="1"/>
      <w:numFmt w:val="bullet"/>
      <w:lvlText w:val="o"/>
      <w:lvlJc w:val="left"/>
      <w:pPr>
        <w:ind w:left="3600" w:hanging="360"/>
      </w:pPr>
      <w:rPr>
        <w:rFonts w:ascii="Courier New" w:hAnsi="Courier New" w:hint="default"/>
      </w:rPr>
    </w:lvl>
    <w:lvl w:ilvl="5" w:tplc="582E3C10">
      <w:start w:val="1"/>
      <w:numFmt w:val="bullet"/>
      <w:lvlText w:val=""/>
      <w:lvlJc w:val="left"/>
      <w:pPr>
        <w:ind w:left="4320" w:hanging="360"/>
      </w:pPr>
      <w:rPr>
        <w:rFonts w:ascii="Wingdings" w:hAnsi="Wingdings" w:hint="default"/>
      </w:rPr>
    </w:lvl>
    <w:lvl w:ilvl="6" w:tplc="87A2DFB6">
      <w:start w:val="1"/>
      <w:numFmt w:val="bullet"/>
      <w:lvlText w:val=""/>
      <w:lvlJc w:val="left"/>
      <w:pPr>
        <w:ind w:left="5040" w:hanging="360"/>
      </w:pPr>
      <w:rPr>
        <w:rFonts w:ascii="Symbol" w:hAnsi="Symbol" w:hint="default"/>
      </w:rPr>
    </w:lvl>
    <w:lvl w:ilvl="7" w:tplc="DD024A38">
      <w:start w:val="1"/>
      <w:numFmt w:val="bullet"/>
      <w:lvlText w:val="o"/>
      <w:lvlJc w:val="left"/>
      <w:pPr>
        <w:ind w:left="5760" w:hanging="360"/>
      </w:pPr>
      <w:rPr>
        <w:rFonts w:ascii="Courier New" w:hAnsi="Courier New" w:hint="default"/>
      </w:rPr>
    </w:lvl>
    <w:lvl w:ilvl="8" w:tplc="CE960258">
      <w:start w:val="1"/>
      <w:numFmt w:val="bullet"/>
      <w:lvlText w:val=""/>
      <w:lvlJc w:val="left"/>
      <w:pPr>
        <w:ind w:left="6480" w:hanging="360"/>
      </w:pPr>
      <w:rPr>
        <w:rFonts w:ascii="Wingdings" w:hAnsi="Wingdings" w:hint="default"/>
      </w:rPr>
    </w:lvl>
  </w:abstractNum>
  <w:abstractNum w:abstractNumId="1" w15:restartNumberingAfterBreak="0">
    <w:nsid w:val="7B827F78"/>
    <w:multiLevelType w:val="multilevel"/>
    <w:tmpl w:val="500A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447790">
    <w:abstractNumId w:val="0"/>
  </w:num>
  <w:num w:numId="2" w16cid:durableId="19184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9E"/>
    <w:rsid w:val="000011BB"/>
    <w:rsid w:val="00004364"/>
    <w:rsid w:val="00017C71"/>
    <w:rsid w:val="0002036D"/>
    <w:rsid w:val="000237B0"/>
    <w:rsid w:val="00023D22"/>
    <w:rsid w:val="000245C4"/>
    <w:rsid w:val="000301E3"/>
    <w:rsid w:val="000322C0"/>
    <w:rsid w:val="00032D23"/>
    <w:rsid w:val="000346DC"/>
    <w:rsid w:val="00034FD2"/>
    <w:rsid w:val="0003613A"/>
    <w:rsid w:val="00041A6F"/>
    <w:rsid w:val="00042B88"/>
    <w:rsid w:val="00042EE3"/>
    <w:rsid w:val="00043635"/>
    <w:rsid w:val="00043FAF"/>
    <w:rsid w:val="00053C4D"/>
    <w:rsid w:val="00054E82"/>
    <w:rsid w:val="0005771D"/>
    <w:rsid w:val="000635A1"/>
    <w:rsid w:val="000657A9"/>
    <w:rsid w:val="000674D1"/>
    <w:rsid w:val="00070844"/>
    <w:rsid w:val="000839A2"/>
    <w:rsid w:val="0008442D"/>
    <w:rsid w:val="000852AA"/>
    <w:rsid w:val="000853A7"/>
    <w:rsid w:val="000878C7"/>
    <w:rsid w:val="00092304"/>
    <w:rsid w:val="00094835"/>
    <w:rsid w:val="00094DE4"/>
    <w:rsid w:val="0009571C"/>
    <w:rsid w:val="000A3F12"/>
    <w:rsid w:val="000A5DFD"/>
    <w:rsid w:val="000B2203"/>
    <w:rsid w:val="000B6968"/>
    <w:rsid w:val="000C0B28"/>
    <w:rsid w:val="000C46ED"/>
    <w:rsid w:val="000C6117"/>
    <w:rsid w:val="000C783F"/>
    <w:rsid w:val="000D0348"/>
    <w:rsid w:val="000D28EE"/>
    <w:rsid w:val="000E02AF"/>
    <w:rsid w:val="000E2EFA"/>
    <w:rsid w:val="000E3858"/>
    <w:rsid w:val="000E3F80"/>
    <w:rsid w:val="000E6B52"/>
    <w:rsid w:val="000F049A"/>
    <w:rsid w:val="000F164E"/>
    <w:rsid w:val="000F24C2"/>
    <w:rsid w:val="000F37A9"/>
    <w:rsid w:val="000F533E"/>
    <w:rsid w:val="000F7521"/>
    <w:rsid w:val="00100408"/>
    <w:rsid w:val="00102053"/>
    <w:rsid w:val="0010297B"/>
    <w:rsid w:val="00103D84"/>
    <w:rsid w:val="00114010"/>
    <w:rsid w:val="00114C20"/>
    <w:rsid w:val="00120064"/>
    <w:rsid w:val="00120985"/>
    <w:rsid w:val="001210EB"/>
    <w:rsid w:val="001231C5"/>
    <w:rsid w:val="001232CF"/>
    <w:rsid w:val="00123412"/>
    <w:rsid w:val="00134102"/>
    <w:rsid w:val="00134A88"/>
    <w:rsid w:val="00134D5C"/>
    <w:rsid w:val="001428FB"/>
    <w:rsid w:val="00143204"/>
    <w:rsid w:val="001433F5"/>
    <w:rsid w:val="001434AD"/>
    <w:rsid w:val="001445AB"/>
    <w:rsid w:val="00146C4A"/>
    <w:rsid w:val="001517DD"/>
    <w:rsid w:val="001525AC"/>
    <w:rsid w:val="001534B5"/>
    <w:rsid w:val="00153DB0"/>
    <w:rsid w:val="00153E1A"/>
    <w:rsid w:val="0015583C"/>
    <w:rsid w:val="00165723"/>
    <w:rsid w:val="00172742"/>
    <w:rsid w:val="0017491F"/>
    <w:rsid w:val="00176F1D"/>
    <w:rsid w:val="00180A8C"/>
    <w:rsid w:val="00181806"/>
    <w:rsid w:val="0018544C"/>
    <w:rsid w:val="0018756F"/>
    <w:rsid w:val="0018767F"/>
    <w:rsid w:val="00193478"/>
    <w:rsid w:val="00195B1F"/>
    <w:rsid w:val="001968D0"/>
    <w:rsid w:val="00196DA1"/>
    <w:rsid w:val="001A020D"/>
    <w:rsid w:val="001B1406"/>
    <w:rsid w:val="001B1B6D"/>
    <w:rsid w:val="001B2C68"/>
    <w:rsid w:val="001B5654"/>
    <w:rsid w:val="001B7050"/>
    <w:rsid w:val="001C0B54"/>
    <w:rsid w:val="001C425B"/>
    <w:rsid w:val="001C5EF5"/>
    <w:rsid w:val="001C70F8"/>
    <w:rsid w:val="001D02CF"/>
    <w:rsid w:val="001D3BEC"/>
    <w:rsid w:val="001D3EC2"/>
    <w:rsid w:val="001D486E"/>
    <w:rsid w:val="001D6F04"/>
    <w:rsid w:val="001D7382"/>
    <w:rsid w:val="001E3A2D"/>
    <w:rsid w:val="001E583A"/>
    <w:rsid w:val="001F09E9"/>
    <w:rsid w:val="001F1447"/>
    <w:rsid w:val="001F2A55"/>
    <w:rsid w:val="001F5B8F"/>
    <w:rsid w:val="001F6BAF"/>
    <w:rsid w:val="001F6D1A"/>
    <w:rsid w:val="001F7FFD"/>
    <w:rsid w:val="00201552"/>
    <w:rsid w:val="00206628"/>
    <w:rsid w:val="002110D2"/>
    <w:rsid w:val="00215E93"/>
    <w:rsid w:val="00220EDF"/>
    <w:rsid w:val="002222AA"/>
    <w:rsid w:val="00222FFD"/>
    <w:rsid w:val="002243CE"/>
    <w:rsid w:val="00224454"/>
    <w:rsid w:val="00224E3D"/>
    <w:rsid w:val="002300A4"/>
    <w:rsid w:val="002304B1"/>
    <w:rsid w:val="002309CD"/>
    <w:rsid w:val="002343A9"/>
    <w:rsid w:val="00234AB6"/>
    <w:rsid w:val="00237757"/>
    <w:rsid w:val="00237E0F"/>
    <w:rsid w:val="00243699"/>
    <w:rsid w:val="00243B9E"/>
    <w:rsid w:val="002447F1"/>
    <w:rsid w:val="00247968"/>
    <w:rsid w:val="002510D3"/>
    <w:rsid w:val="0025267B"/>
    <w:rsid w:val="00252981"/>
    <w:rsid w:val="0025369E"/>
    <w:rsid w:val="0025659F"/>
    <w:rsid w:val="002566F2"/>
    <w:rsid w:val="00256FE9"/>
    <w:rsid w:val="00257156"/>
    <w:rsid w:val="002612F5"/>
    <w:rsid w:val="00261462"/>
    <w:rsid w:val="00270836"/>
    <w:rsid w:val="0027274B"/>
    <w:rsid w:val="00274497"/>
    <w:rsid w:val="00281246"/>
    <w:rsid w:val="00282D38"/>
    <w:rsid w:val="00283A90"/>
    <w:rsid w:val="00284709"/>
    <w:rsid w:val="00286211"/>
    <w:rsid w:val="00290AB7"/>
    <w:rsid w:val="00291D2D"/>
    <w:rsid w:val="0029347A"/>
    <w:rsid w:val="00293D7D"/>
    <w:rsid w:val="00295110"/>
    <w:rsid w:val="002A064A"/>
    <w:rsid w:val="002A33B2"/>
    <w:rsid w:val="002A35D6"/>
    <w:rsid w:val="002A3BDE"/>
    <w:rsid w:val="002A49C7"/>
    <w:rsid w:val="002A599B"/>
    <w:rsid w:val="002A7449"/>
    <w:rsid w:val="002B2487"/>
    <w:rsid w:val="002B5A61"/>
    <w:rsid w:val="002C2253"/>
    <w:rsid w:val="002C2F61"/>
    <w:rsid w:val="002C3ADC"/>
    <w:rsid w:val="002C5A15"/>
    <w:rsid w:val="002C79F1"/>
    <w:rsid w:val="002C7E6F"/>
    <w:rsid w:val="002D2917"/>
    <w:rsid w:val="002D5F8B"/>
    <w:rsid w:val="002E2759"/>
    <w:rsid w:val="002E2CD6"/>
    <w:rsid w:val="002E3B78"/>
    <w:rsid w:val="002E55BD"/>
    <w:rsid w:val="002E6F06"/>
    <w:rsid w:val="002E7C6B"/>
    <w:rsid w:val="002F0C79"/>
    <w:rsid w:val="002F1E56"/>
    <w:rsid w:val="002F2159"/>
    <w:rsid w:val="002F401E"/>
    <w:rsid w:val="002F41BF"/>
    <w:rsid w:val="002F62DA"/>
    <w:rsid w:val="003002B4"/>
    <w:rsid w:val="003004FE"/>
    <w:rsid w:val="00311F22"/>
    <w:rsid w:val="00313687"/>
    <w:rsid w:val="003164B5"/>
    <w:rsid w:val="003200C7"/>
    <w:rsid w:val="003207DD"/>
    <w:rsid w:val="003235B9"/>
    <w:rsid w:val="0032694D"/>
    <w:rsid w:val="00326FA1"/>
    <w:rsid w:val="0034157F"/>
    <w:rsid w:val="00342368"/>
    <w:rsid w:val="00347FB5"/>
    <w:rsid w:val="003521C3"/>
    <w:rsid w:val="00352C67"/>
    <w:rsid w:val="003551D1"/>
    <w:rsid w:val="00357DE4"/>
    <w:rsid w:val="0036039E"/>
    <w:rsid w:val="003613CA"/>
    <w:rsid w:val="003666BB"/>
    <w:rsid w:val="00366974"/>
    <w:rsid w:val="00367C49"/>
    <w:rsid w:val="003717A4"/>
    <w:rsid w:val="00374466"/>
    <w:rsid w:val="00385EE3"/>
    <w:rsid w:val="0038701E"/>
    <w:rsid w:val="00387A74"/>
    <w:rsid w:val="003909FE"/>
    <w:rsid w:val="0039659A"/>
    <w:rsid w:val="003A7CE8"/>
    <w:rsid w:val="003B5631"/>
    <w:rsid w:val="003B5AF7"/>
    <w:rsid w:val="003B6EBB"/>
    <w:rsid w:val="003C0CEB"/>
    <w:rsid w:val="003C358C"/>
    <w:rsid w:val="003C3B6A"/>
    <w:rsid w:val="003C5F86"/>
    <w:rsid w:val="003D16AD"/>
    <w:rsid w:val="003D5787"/>
    <w:rsid w:val="003D791C"/>
    <w:rsid w:val="003E3577"/>
    <w:rsid w:val="003E3FE7"/>
    <w:rsid w:val="003E4791"/>
    <w:rsid w:val="003F0955"/>
    <w:rsid w:val="003F3434"/>
    <w:rsid w:val="003F40FE"/>
    <w:rsid w:val="00400D5F"/>
    <w:rsid w:val="00416AA5"/>
    <w:rsid w:val="00421261"/>
    <w:rsid w:val="00422AA5"/>
    <w:rsid w:val="00425E19"/>
    <w:rsid w:val="0042741B"/>
    <w:rsid w:val="004313DA"/>
    <w:rsid w:val="00432852"/>
    <w:rsid w:val="0043402E"/>
    <w:rsid w:val="004353B9"/>
    <w:rsid w:val="00440039"/>
    <w:rsid w:val="00440AE1"/>
    <w:rsid w:val="00444635"/>
    <w:rsid w:val="00446879"/>
    <w:rsid w:val="00451366"/>
    <w:rsid w:val="00452D6F"/>
    <w:rsid w:val="00453947"/>
    <w:rsid w:val="0045454A"/>
    <w:rsid w:val="00462B95"/>
    <w:rsid w:val="004632A5"/>
    <w:rsid w:val="0047101A"/>
    <w:rsid w:val="00473F16"/>
    <w:rsid w:val="0047418D"/>
    <w:rsid w:val="00480D75"/>
    <w:rsid w:val="00482F55"/>
    <w:rsid w:val="00483570"/>
    <w:rsid w:val="0048438C"/>
    <w:rsid w:val="00487A31"/>
    <w:rsid w:val="00490B02"/>
    <w:rsid w:val="00493827"/>
    <w:rsid w:val="00495224"/>
    <w:rsid w:val="00495D76"/>
    <w:rsid w:val="004A09DB"/>
    <w:rsid w:val="004A0CA6"/>
    <w:rsid w:val="004A13F2"/>
    <w:rsid w:val="004A4B8C"/>
    <w:rsid w:val="004A4BB6"/>
    <w:rsid w:val="004A6651"/>
    <w:rsid w:val="004B6320"/>
    <w:rsid w:val="004B6C49"/>
    <w:rsid w:val="004B7433"/>
    <w:rsid w:val="004C361F"/>
    <w:rsid w:val="004C3E7C"/>
    <w:rsid w:val="004C5D03"/>
    <w:rsid w:val="004C5E8B"/>
    <w:rsid w:val="004C64EF"/>
    <w:rsid w:val="004C7D1E"/>
    <w:rsid w:val="004D2A67"/>
    <w:rsid w:val="004E61F1"/>
    <w:rsid w:val="004E6B6E"/>
    <w:rsid w:val="004E7628"/>
    <w:rsid w:val="004F1BB1"/>
    <w:rsid w:val="004F2FFB"/>
    <w:rsid w:val="004F50DB"/>
    <w:rsid w:val="004F5E57"/>
    <w:rsid w:val="004F7C19"/>
    <w:rsid w:val="00502F45"/>
    <w:rsid w:val="005032B7"/>
    <w:rsid w:val="00510853"/>
    <w:rsid w:val="0051252C"/>
    <w:rsid w:val="00512C48"/>
    <w:rsid w:val="00514BAA"/>
    <w:rsid w:val="005159F9"/>
    <w:rsid w:val="00520A39"/>
    <w:rsid w:val="00521241"/>
    <w:rsid w:val="005232A9"/>
    <w:rsid w:val="005259E0"/>
    <w:rsid w:val="005266A0"/>
    <w:rsid w:val="00530F7F"/>
    <w:rsid w:val="005339C5"/>
    <w:rsid w:val="00535061"/>
    <w:rsid w:val="005430C4"/>
    <w:rsid w:val="00543E22"/>
    <w:rsid w:val="0054775C"/>
    <w:rsid w:val="00552F5E"/>
    <w:rsid w:val="0055676B"/>
    <w:rsid w:val="00556C80"/>
    <w:rsid w:val="00557113"/>
    <w:rsid w:val="00557386"/>
    <w:rsid w:val="0056157E"/>
    <w:rsid w:val="00561716"/>
    <w:rsid w:val="00561BB2"/>
    <w:rsid w:val="005623F3"/>
    <w:rsid w:val="00577437"/>
    <w:rsid w:val="005806C3"/>
    <w:rsid w:val="00584929"/>
    <w:rsid w:val="005876DB"/>
    <w:rsid w:val="00587C78"/>
    <w:rsid w:val="00587D56"/>
    <w:rsid w:val="00594FC4"/>
    <w:rsid w:val="005A0481"/>
    <w:rsid w:val="005A1C56"/>
    <w:rsid w:val="005A31EF"/>
    <w:rsid w:val="005A645B"/>
    <w:rsid w:val="005A6C98"/>
    <w:rsid w:val="005A7940"/>
    <w:rsid w:val="005B261B"/>
    <w:rsid w:val="005B55AD"/>
    <w:rsid w:val="005C4C2F"/>
    <w:rsid w:val="005C516D"/>
    <w:rsid w:val="005D307F"/>
    <w:rsid w:val="005D3716"/>
    <w:rsid w:val="005D59D1"/>
    <w:rsid w:val="005D6206"/>
    <w:rsid w:val="005E2E1B"/>
    <w:rsid w:val="005E3A5A"/>
    <w:rsid w:val="005E5BCB"/>
    <w:rsid w:val="005F135B"/>
    <w:rsid w:val="005F2175"/>
    <w:rsid w:val="005F2C73"/>
    <w:rsid w:val="005F6469"/>
    <w:rsid w:val="005F6CD0"/>
    <w:rsid w:val="005F6E4B"/>
    <w:rsid w:val="005F712F"/>
    <w:rsid w:val="0060113E"/>
    <w:rsid w:val="006022BB"/>
    <w:rsid w:val="00604CC5"/>
    <w:rsid w:val="00606EE3"/>
    <w:rsid w:val="0061170C"/>
    <w:rsid w:val="006124D1"/>
    <w:rsid w:val="00616955"/>
    <w:rsid w:val="00617085"/>
    <w:rsid w:val="006204ED"/>
    <w:rsid w:val="00620ED5"/>
    <w:rsid w:val="00621B66"/>
    <w:rsid w:val="00624B89"/>
    <w:rsid w:val="0063292E"/>
    <w:rsid w:val="00632C9C"/>
    <w:rsid w:val="00634368"/>
    <w:rsid w:val="006350ED"/>
    <w:rsid w:val="00640633"/>
    <w:rsid w:val="00646D51"/>
    <w:rsid w:val="00647E05"/>
    <w:rsid w:val="00647F10"/>
    <w:rsid w:val="00650A6F"/>
    <w:rsid w:val="006515E5"/>
    <w:rsid w:val="00652132"/>
    <w:rsid w:val="0065263C"/>
    <w:rsid w:val="00652DB2"/>
    <w:rsid w:val="00653802"/>
    <w:rsid w:val="0065418E"/>
    <w:rsid w:val="00655061"/>
    <w:rsid w:val="00655D52"/>
    <w:rsid w:val="006605CC"/>
    <w:rsid w:val="006605E2"/>
    <w:rsid w:val="00661047"/>
    <w:rsid w:val="00670C2B"/>
    <w:rsid w:val="006739D7"/>
    <w:rsid w:val="0067400A"/>
    <w:rsid w:val="0067420F"/>
    <w:rsid w:val="00676748"/>
    <w:rsid w:val="00677DD9"/>
    <w:rsid w:val="00681CB5"/>
    <w:rsid w:val="0068227F"/>
    <w:rsid w:val="00683B49"/>
    <w:rsid w:val="006866D8"/>
    <w:rsid w:val="006933D3"/>
    <w:rsid w:val="006974B0"/>
    <w:rsid w:val="006A1674"/>
    <w:rsid w:val="006A286B"/>
    <w:rsid w:val="006A6D81"/>
    <w:rsid w:val="006A7770"/>
    <w:rsid w:val="006B4599"/>
    <w:rsid w:val="006B4B63"/>
    <w:rsid w:val="006B4F05"/>
    <w:rsid w:val="006B5597"/>
    <w:rsid w:val="006B5C4D"/>
    <w:rsid w:val="006B7BBD"/>
    <w:rsid w:val="006C360A"/>
    <w:rsid w:val="006C4F82"/>
    <w:rsid w:val="006D13CF"/>
    <w:rsid w:val="006D30A1"/>
    <w:rsid w:val="006D65B5"/>
    <w:rsid w:val="006E098A"/>
    <w:rsid w:val="006E22C3"/>
    <w:rsid w:val="006E7E53"/>
    <w:rsid w:val="006F6B8D"/>
    <w:rsid w:val="0070003A"/>
    <w:rsid w:val="00701646"/>
    <w:rsid w:val="00701913"/>
    <w:rsid w:val="007034CA"/>
    <w:rsid w:val="007070E4"/>
    <w:rsid w:val="00707EE9"/>
    <w:rsid w:val="00711A1B"/>
    <w:rsid w:val="00714842"/>
    <w:rsid w:val="00716383"/>
    <w:rsid w:val="00720BCA"/>
    <w:rsid w:val="00722A29"/>
    <w:rsid w:val="00723F47"/>
    <w:rsid w:val="0072596A"/>
    <w:rsid w:val="00735042"/>
    <w:rsid w:val="007456E6"/>
    <w:rsid w:val="007550D6"/>
    <w:rsid w:val="0075534C"/>
    <w:rsid w:val="00756411"/>
    <w:rsid w:val="00757B30"/>
    <w:rsid w:val="00762446"/>
    <w:rsid w:val="007631BA"/>
    <w:rsid w:val="00775061"/>
    <w:rsid w:val="00776884"/>
    <w:rsid w:val="00784D21"/>
    <w:rsid w:val="00794A92"/>
    <w:rsid w:val="007B0465"/>
    <w:rsid w:val="007B2097"/>
    <w:rsid w:val="007B2167"/>
    <w:rsid w:val="007B37DC"/>
    <w:rsid w:val="007C2461"/>
    <w:rsid w:val="007D1D8F"/>
    <w:rsid w:val="007D3A0C"/>
    <w:rsid w:val="007D44EE"/>
    <w:rsid w:val="007D4B9A"/>
    <w:rsid w:val="007D4C03"/>
    <w:rsid w:val="007D7D0E"/>
    <w:rsid w:val="007E1ED9"/>
    <w:rsid w:val="007F701A"/>
    <w:rsid w:val="00802D65"/>
    <w:rsid w:val="008055F3"/>
    <w:rsid w:val="00806321"/>
    <w:rsid w:val="0081033C"/>
    <w:rsid w:val="00812069"/>
    <w:rsid w:val="0081372D"/>
    <w:rsid w:val="00813F4B"/>
    <w:rsid w:val="00814877"/>
    <w:rsid w:val="00817AC8"/>
    <w:rsid w:val="00822485"/>
    <w:rsid w:val="0082685D"/>
    <w:rsid w:val="008276D9"/>
    <w:rsid w:val="00830981"/>
    <w:rsid w:val="00832E77"/>
    <w:rsid w:val="00833C15"/>
    <w:rsid w:val="00834525"/>
    <w:rsid w:val="008362AA"/>
    <w:rsid w:val="00836F6A"/>
    <w:rsid w:val="00836F87"/>
    <w:rsid w:val="00840592"/>
    <w:rsid w:val="00840766"/>
    <w:rsid w:val="00840C3E"/>
    <w:rsid w:val="0084416D"/>
    <w:rsid w:val="00852422"/>
    <w:rsid w:val="00852C9F"/>
    <w:rsid w:val="008543CF"/>
    <w:rsid w:val="00861D9D"/>
    <w:rsid w:val="00862C4E"/>
    <w:rsid w:val="00865FD7"/>
    <w:rsid w:val="008678D8"/>
    <w:rsid w:val="00873773"/>
    <w:rsid w:val="00880BA1"/>
    <w:rsid w:val="00881853"/>
    <w:rsid w:val="008833B5"/>
    <w:rsid w:val="0088471E"/>
    <w:rsid w:val="008858DA"/>
    <w:rsid w:val="00895883"/>
    <w:rsid w:val="00897E14"/>
    <w:rsid w:val="008A014F"/>
    <w:rsid w:val="008A550C"/>
    <w:rsid w:val="008B0431"/>
    <w:rsid w:val="008B1662"/>
    <w:rsid w:val="008B3D16"/>
    <w:rsid w:val="008B6862"/>
    <w:rsid w:val="008B696A"/>
    <w:rsid w:val="008B7C87"/>
    <w:rsid w:val="008C08CA"/>
    <w:rsid w:val="008C37AA"/>
    <w:rsid w:val="008C5A9E"/>
    <w:rsid w:val="008C62E4"/>
    <w:rsid w:val="008D120D"/>
    <w:rsid w:val="008D3EC5"/>
    <w:rsid w:val="008D47DA"/>
    <w:rsid w:val="008D64A5"/>
    <w:rsid w:val="008D75E1"/>
    <w:rsid w:val="008E14C9"/>
    <w:rsid w:val="008E3B50"/>
    <w:rsid w:val="008E4B69"/>
    <w:rsid w:val="008E5D66"/>
    <w:rsid w:val="008E5D6E"/>
    <w:rsid w:val="008E6F4B"/>
    <w:rsid w:val="008F078F"/>
    <w:rsid w:val="008F1EE8"/>
    <w:rsid w:val="008F470C"/>
    <w:rsid w:val="008F4947"/>
    <w:rsid w:val="00902687"/>
    <w:rsid w:val="0091076B"/>
    <w:rsid w:val="00912377"/>
    <w:rsid w:val="00915396"/>
    <w:rsid w:val="0091656C"/>
    <w:rsid w:val="00921DFB"/>
    <w:rsid w:val="00922A75"/>
    <w:rsid w:val="009256E4"/>
    <w:rsid w:val="0092713F"/>
    <w:rsid w:val="009300A1"/>
    <w:rsid w:val="00932752"/>
    <w:rsid w:val="00937A8F"/>
    <w:rsid w:val="0094407F"/>
    <w:rsid w:val="00945815"/>
    <w:rsid w:val="00945C71"/>
    <w:rsid w:val="00947B35"/>
    <w:rsid w:val="009507A0"/>
    <w:rsid w:val="009539A7"/>
    <w:rsid w:val="00953EAC"/>
    <w:rsid w:val="00955566"/>
    <w:rsid w:val="009560CD"/>
    <w:rsid w:val="00962D1E"/>
    <w:rsid w:val="00962DF5"/>
    <w:rsid w:val="0096319A"/>
    <w:rsid w:val="0096357F"/>
    <w:rsid w:val="00964860"/>
    <w:rsid w:val="00964888"/>
    <w:rsid w:val="00967052"/>
    <w:rsid w:val="009721DD"/>
    <w:rsid w:val="00983AD6"/>
    <w:rsid w:val="00983DFD"/>
    <w:rsid w:val="0098560C"/>
    <w:rsid w:val="00986519"/>
    <w:rsid w:val="009865DC"/>
    <w:rsid w:val="00990E23"/>
    <w:rsid w:val="00992AD6"/>
    <w:rsid w:val="00994731"/>
    <w:rsid w:val="00995B09"/>
    <w:rsid w:val="00995C6E"/>
    <w:rsid w:val="009A26D7"/>
    <w:rsid w:val="009A5BC2"/>
    <w:rsid w:val="009A5E05"/>
    <w:rsid w:val="009A7250"/>
    <w:rsid w:val="009B18D5"/>
    <w:rsid w:val="009B68C0"/>
    <w:rsid w:val="009C2B06"/>
    <w:rsid w:val="009C3458"/>
    <w:rsid w:val="009C39CC"/>
    <w:rsid w:val="009C443C"/>
    <w:rsid w:val="009C4D95"/>
    <w:rsid w:val="009C5840"/>
    <w:rsid w:val="009C5B97"/>
    <w:rsid w:val="009D2A9F"/>
    <w:rsid w:val="009D361A"/>
    <w:rsid w:val="009D43FD"/>
    <w:rsid w:val="009D4B3E"/>
    <w:rsid w:val="009D68B5"/>
    <w:rsid w:val="009E0FC3"/>
    <w:rsid w:val="009E15AA"/>
    <w:rsid w:val="009E1EF4"/>
    <w:rsid w:val="009E3946"/>
    <w:rsid w:val="009E3BBB"/>
    <w:rsid w:val="009E64AB"/>
    <w:rsid w:val="009F55E9"/>
    <w:rsid w:val="009F6509"/>
    <w:rsid w:val="009F6725"/>
    <w:rsid w:val="00A00F4A"/>
    <w:rsid w:val="00A037C5"/>
    <w:rsid w:val="00A039C7"/>
    <w:rsid w:val="00A04F62"/>
    <w:rsid w:val="00A06272"/>
    <w:rsid w:val="00A11A3D"/>
    <w:rsid w:val="00A15D95"/>
    <w:rsid w:val="00A16FA1"/>
    <w:rsid w:val="00A32A4C"/>
    <w:rsid w:val="00A32AED"/>
    <w:rsid w:val="00A4051F"/>
    <w:rsid w:val="00A4223C"/>
    <w:rsid w:val="00A4361E"/>
    <w:rsid w:val="00A52FCB"/>
    <w:rsid w:val="00A5320B"/>
    <w:rsid w:val="00A54A27"/>
    <w:rsid w:val="00A66889"/>
    <w:rsid w:val="00A705BB"/>
    <w:rsid w:val="00A747E1"/>
    <w:rsid w:val="00A77556"/>
    <w:rsid w:val="00A811BC"/>
    <w:rsid w:val="00A83677"/>
    <w:rsid w:val="00A83B93"/>
    <w:rsid w:val="00A900B5"/>
    <w:rsid w:val="00A90EC8"/>
    <w:rsid w:val="00A90F00"/>
    <w:rsid w:val="00A94FC3"/>
    <w:rsid w:val="00A952E1"/>
    <w:rsid w:val="00A96646"/>
    <w:rsid w:val="00A96C8F"/>
    <w:rsid w:val="00AA0401"/>
    <w:rsid w:val="00AA1083"/>
    <w:rsid w:val="00AA16D6"/>
    <w:rsid w:val="00AA2590"/>
    <w:rsid w:val="00AA3CB4"/>
    <w:rsid w:val="00AA4C31"/>
    <w:rsid w:val="00AB41D3"/>
    <w:rsid w:val="00AB55E9"/>
    <w:rsid w:val="00AB61E5"/>
    <w:rsid w:val="00AB7A15"/>
    <w:rsid w:val="00AC3A59"/>
    <w:rsid w:val="00AC44F1"/>
    <w:rsid w:val="00AC4975"/>
    <w:rsid w:val="00AC6671"/>
    <w:rsid w:val="00AD4F37"/>
    <w:rsid w:val="00AE063D"/>
    <w:rsid w:val="00AE2B27"/>
    <w:rsid w:val="00AE38E1"/>
    <w:rsid w:val="00AE46A4"/>
    <w:rsid w:val="00AE4E09"/>
    <w:rsid w:val="00AF2EED"/>
    <w:rsid w:val="00AF7647"/>
    <w:rsid w:val="00AF7F2F"/>
    <w:rsid w:val="00B01C64"/>
    <w:rsid w:val="00B045F7"/>
    <w:rsid w:val="00B0518C"/>
    <w:rsid w:val="00B05A58"/>
    <w:rsid w:val="00B121EB"/>
    <w:rsid w:val="00B13A05"/>
    <w:rsid w:val="00B17E15"/>
    <w:rsid w:val="00B223D7"/>
    <w:rsid w:val="00B239BA"/>
    <w:rsid w:val="00B246E4"/>
    <w:rsid w:val="00B34EF1"/>
    <w:rsid w:val="00B36667"/>
    <w:rsid w:val="00B42E48"/>
    <w:rsid w:val="00B43765"/>
    <w:rsid w:val="00B45239"/>
    <w:rsid w:val="00B4560E"/>
    <w:rsid w:val="00B52ABC"/>
    <w:rsid w:val="00B55B1A"/>
    <w:rsid w:val="00B6024D"/>
    <w:rsid w:val="00B60F6E"/>
    <w:rsid w:val="00B6160C"/>
    <w:rsid w:val="00B66E44"/>
    <w:rsid w:val="00B72728"/>
    <w:rsid w:val="00B757A1"/>
    <w:rsid w:val="00B8122B"/>
    <w:rsid w:val="00B81D23"/>
    <w:rsid w:val="00B831CD"/>
    <w:rsid w:val="00B84575"/>
    <w:rsid w:val="00BA084A"/>
    <w:rsid w:val="00BA0FA9"/>
    <w:rsid w:val="00BA291C"/>
    <w:rsid w:val="00BA3089"/>
    <w:rsid w:val="00BA32D3"/>
    <w:rsid w:val="00BA4D90"/>
    <w:rsid w:val="00BA555B"/>
    <w:rsid w:val="00BB05EB"/>
    <w:rsid w:val="00BB0DFA"/>
    <w:rsid w:val="00BB189A"/>
    <w:rsid w:val="00BB1AB8"/>
    <w:rsid w:val="00BB28E3"/>
    <w:rsid w:val="00BB50D1"/>
    <w:rsid w:val="00BB546C"/>
    <w:rsid w:val="00BB6324"/>
    <w:rsid w:val="00BB6406"/>
    <w:rsid w:val="00BC0ADA"/>
    <w:rsid w:val="00BC5A19"/>
    <w:rsid w:val="00BC79A1"/>
    <w:rsid w:val="00BD0E8E"/>
    <w:rsid w:val="00BD2DAC"/>
    <w:rsid w:val="00BE0C1A"/>
    <w:rsid w:val="00BE381B"/>
    <w:rsid w:val="00BF265F"/>
    <w:rsid w:val="00C01FB7"/>
    <w:rsid w:val="00C03C12"/>
    <w:rsid w:val="00C05374"/>
    <w:rsid w:val="00C07F76"/>
    <w:rsid w:val="00C13D93"/>
    <w:rsid w:val="00C20870"/>
    <w:rsid w:val="00C21ACA"/>
    <w:rsid w:val="00C241BD"/>
    <w:rsid w:val="00C30B38"/>
    <w:rsid w:val="00C33AA5"/>
    <w:rsid w:val="00C33D6A"/>
    <w:rsid w:val="00C36EA1"/>
    <w:rsid w:val="00C376A0"/>
    <w:rsid w:val="00C44677"/>
    <w:rsid w:val="00C503AA"/>
    <w:rsid w:val="00C50F65"/>
    <w:rsid w:val="00C51177"/>
    <w:rsid w:val="00C53CF5"/>
    <w:rsid w:val="00C55FF5"/>
    <w:rsid w:val="00C560DC"/>
    <w:rsid w:val="00C624CF"/>
    <w:rsid w:val="00C64550"/>
    <w:rsid w:val="00C65AE9"/>
    <w:rsid w:val="00C65C3D"/>
    <w:rsid w:val="00C703F0"/>
    <w:rsid w:val="00C73A55"/>
    <w:rsid w:val="00C76647"/>
    <w:rsid w:val="00C80314"/>
    <w:rsid w:val="00C84962"/>
    <w:rsid w:val="00C85B85"/>
    <w:rsid w:val="00C86B13"/>
    <w:rsid w:val="00C87857"/>
    <w:rsid w:val="00C8830F"/>
    <w:rsid w:val="00C920FB"/>
    <w:rsid w:val="00C97467"/>
    <w:rsid w:val="00CA14B6"/>
    <w:rsid w:val="00CA1EAA"/>
    <w:rsid w:val="00CA2474"/>
    <w:rsid w:val="00CA4068"/>
    <w:rsid w:val="00CA5548"/>
    <w:rsid w:val="00CB16AC"/>
    <w:rsid w:val="00CB3ACB"/>
    <w:rsid w:val="00CB58C6"/>
    <w:rsid w:val="00CB6C27"/>
    <w:rsid w:val="00CC00F3"/>
    <w:rsid w:val="00CC0485"/>
    <w:rsid w:val="00CC0606"/>
    <w:rsid w:val="00CC15E6"/>
    <w:rsid w:val="00CC2217"/>
    <w:rsid w:val="00CD2CD9"/>
    <w:rsid w:val="00CD31B9"/>
    <w:rsid w:val="00CD5F5C"/>
    <w:rsid w:val="00CE26C0"/>
    <w:rsid w:val="00CE6ECD"/>
    <w:rsid w:val="00CE7D80"/>
    <w:rsid w:val="00CF538B"/>
    <w:rsid w:val="00CF5674"/>
    <w:rsid w:val="00CF6D34"/>
    <w:rsid w:val="00CF78E8"/>
    <w:rsid w:val="00D00F53"/>
    <w:rsid w:val="00D07C26"/>
    <w:rsid w:val="00D16956"/>
    <w:rsid w:val="00D17224"/>
    <w:rsid w:val="00D22662"/>
    <w:rsid w:val="00D22DA1"/>
    <w:rsid w:val="00D24B25"/>
    <w:rsid w:val="00D25B4F"/>
    <w:rsid w:val="00D26E90"/>
    <w:rsid w:val="00D275CE"/>
    <w:rsid w:val="00D33142"/>
    <w:rsid w:val="00D41C0A"/>
    <w:rsid w:val="00D47421"/>
    <w:rsid w:val="00D47708"/>
    <w:rsid w:val="00D5042E"/>
    <w:rsid w:val="00D50CCC"/>
    <w:rsid w:val="00D51965"/>
    <w:rsid w:val="00D52D23"/>
    <w:rsid w:val="00D52D80"/>
    <w:rsid w:val="00D53AC7"/>
    <w:rsid w:val="00D54BA4"/>
    <w:rsid w:val="00D56121"/>
    <w:rsid w:val="00D61221"/>
    <w:rsid w:val="00D61CF1"/>
    <w:rsid w:val="00D626C8"/>
    <w:rsid w:val="00D657E9"/>
    <w:rsid w:val="00D67DD5"/>
    <w:rsid w:val="00D67F20"/>
    <w:rsid w:val="00D749C2"/>
    <w:rsid w:val="00D76C25"/>
    <w:rsid w:val="00D9399C"/>
    <w:rsid w:val="00D957C8"/>
    <w:rsid w:val="00D95ADF"/>
    <w:rsid w:val="00D9672B"/>
    <w:rsid w:val="00D97CF4"/>
    <w:rsid w:val="00DA07CD"/>
    <w:rsid w:val="00DA1801"/>
    <w:rsid w:val="00DA3E67"/>
    <w:rsid w:val="00DA54F2"/>
    <w:rsid w:val="00DA7606"/>
    <w:rsid w:val="00DB0865"/>
    <w:rsid w:val="00DB5051"/>
    <w:rsid w:val="00DB5A87"/>
    <w:rsid w:val="00DB5E05"/>
    <w:rsid w:val="00DB6ED1"/>
    <w:rsid w:val="00DB7767"/>
    <w:rsid w:val="00DC753E"/>
    <w:rsid w:val="00DD2AB6"/>
    <w:rsid w:val="00DE1726"/>
    <w:rsid w:val="00DE1D5D"/>
    <w:rsid w:val="00DE2846"/>
    <w:rsid w:val="00DE3B3B"/>
    <w:rsid w:val="00DF3BA5"/>
    <w:rsid w:val="00E007E9"/>
    <w:rsid w:val="00E0639B"/>
    <w:rsid w:val="00E0643D"/>
    <w:rsid w:val="00E077BD"/>
    <w:rsid w:val="00E12F28"/>
    <w:rsid w:val="00E1384F"/>
    <w:rsid w:val="00E17377"/>
    <w:rsid w:val="00E218C0"/>
    <w:rsid w:val="00E22587"/>
    <w:rsid w:val="00E23F17"/>
    <w:rsid w:val="00E2442D"/>
    <w:rsid w:val="00E27868"/>
    <w:rsid w:val="00E32704"/>
    <w:rsid w:val="00E343FA"/>
    <w:rsid w:val="00E349A3"/>
    <w:rsid w:val="00E40254"/>
    <w:rsid w:val="00E41959"/>
    <w:rsid w:val="00E41E89"/>
    <w:rsid w:val="00E434B1"/>
    <w:rsid w:val="00E4443F"/>
    <w:rsid w:val="00E6024C"/>
    <w:rsid w:val="00E6532F"/>
    <w:rsid w:val="00E75C0D"/>
    <w:rsid w:val="00E77298"/>
    <w:rsid w:val="00E77772"/>
    <w:rsid w:val="00E8020E"/>
    <w:rsid w:val="00E808B9"/>
    <w:rsid w:val="00E8203A"/>
    <w:rsid w:val="00E82664"/>
    <w:rsid w:val="00E82DB7"/>
    <w:rsid w:val="00E847AB"/>
    <w:rsid w:val="00E850CE"/>
    <w:rsid w:val="00E86600"/>
    <w:rsid w:val="00E87006"/>
    <w:rsid w:val="00E911E9"/>
    <w:rsid w:val="00E93D6E"/>
    <w:rsid w:val="00E943CC"/>
    <w:rsid w:val="00E97B60"/>
    <w:rsid w:val="00EA0B3C"/>
    <w:rsid w:val="00EA3B9C"/>
    <w:rsid w:val="00EA6457"/>
    <w:rsid w:val="00EA6C78"/>
    <w:rsid w:val="00EA6D37"/>
    <w:rsid w:val="00EA7A23"/>
    <w:rsid w:val="00EB009F"/>
    <w:rsid w:val="00EB08C6"/>
    <w:rsid w:val="00EB1B1C"/>
    <w:rsid w:val="00EB357A"/>
    <w:rsid w:val="00EB4419"/>
    <w:rsid w:val="00EB456C"/>
    <w:rsid w:val="00EC11A3"/>
    <w:rsid w:val="00EC19A4"/>
    <w:rsid w:val="00EC4F6D"/>
    <w:rsid w:val="00ED3375"/>
    <w:rsid w:val="00ED47BA"/>
    <w:rsid w:val="00EE5471"/>
    <w:rsid w:val="00EF284D"/>
    <w:rsid w:val="00EF7EAC"/>
    <w:rsid w:val="00F032F1"/>
    <w:rsid w:val="00F03B5B"/>
    <w:rsid w:val="00F04D90"/>
    <w:rsid w:val="00F05C15"/>
    <w:rsid w:val="00F15AC9"/>
    <w:rsid w:val="00F17AC2"/>
    <w:rsid w:val="00F2388B"/>
    <w:rsid w:val="00F3037F"/>
    <w:rsid w:val="00F317BF"/>
    <w:rsid w:val="00F42611"/>
    <w:rsid w:val="00F42FA3"/>
    <w:rsid w:val="00F46059"/>
    <w:rsid w:val="00F516CC"/>
    <w:rsid w:val="00F51975"/>
    <w:rsid w:val="00F541A5"/>
    <w:rsid w:val="00F55ADD"/>
    <w:rsid w:val="00F576AE"/>
    <w:rsid w:val="00F603E9"/>
    <w:rsid w:val="00F61947"/>
    <w:rsid w:val="00F629E2"/>
    <w:rsid w:val="00F67166"/>
    <w:rsid w:val="00F675D9"/>
    <w:rsid w:val="00F70116"/>
    <w:rsid w:val="00F71E5A"/>
    <w:rsid w:val="00F7345E"/>
    <w:rsid w:val="00F77BA4"/>
    <w:rsid w:val="00F82372"/>
    <w:rsid w:val="00F82C45"/>
    <w:rsid w:val="00F90387"/>
    <w:rsid w:val="00F94CE3"/>
    <w:rsid w:val="00FA65B8"/>
    <w:rsid w:val="00FB2159"/>
    <w:rsid w:val="00FB2755"/>
    <w:rsid w:val="00FB61D3"/>
    <w:rsid w:val="00FC2B3B"/>
    <w:rsid w:val="00FC4B96"/>
    <w:rsid w:val="00FC77C6"/>
    <w:rsid w:val="00FC7FE8"/>
    <w:rsid w:val="00FD4C3E"/>
    <w:rsid w:val="00FD4DCC"/>
    <w:rsid w:val="00FD542D"/>
    <w:rsid w:val="00FD7274"/>
    <w:rsid w:val="00FE13DA"/>
    <w:rsid w:val="00FE2719"/>
    <w:rsid w:val="00FE35AE"/>
    <w:rsid w:val="00FE3CA6"/>
    <w:rsid w:val="00FE570A"/>
    <w:rsid w:val="00FE7873"/>
    <w:rsid w:val="00FF0BEE"/>
    <w:rsid w:val="00FF433B"/>
    <w:rsid w:val="00FF4D72"/>
    <w:rsid w:val="01CFE519"/>
    <w:rsid w:val="0224A11C"/>
    <w:rsid w:val="03494F30"/>
    <w:rsid w:val="045C336B"/>
    <w:rsid w:val="049FB053"/>
    <w:rsid w:val="04EB7CF0"/>
    <w:rsid w:val="07291399"/>
    <w:rsid w:val="079F4EB1"/>
    <w:rsid w:val="0967DA81"/>
    <w:rsid w:val="09FF04E1"/>
    <w:rsid w:val="0B260B56"/>
    <w:rsid w:val="0C3B2B57"/>
    <w:rsid w:val="0C8C3013"/>
    <w:rsid w:val="0D07360D"/>
    <w:rsid w:val="0EA7E158"/>
    <w:rsid w:val="0EDA8548"/>
    <w:rsid w:val="0EE8F810"/>
    <w:rsid w:val="1045BCE4"/>
    <w:rsid w:val="10D854D5"/>
    <w:rsid w:val="1102AA6B"/>
    <w:rsid w:val="1168DDAD"/>
    <w:rsid w:val="12EAAE32"/>
    <w:rsid w:val="14C5BFA1"/>
    <w:rsid w:val="155BEF8E"/>
    <w:rsid w:val="17C0F259"/>
    <w:rsid w:val="17C36772"/>
    <w:rsid w:val="1A614C0C"/>
    <w:rsid w:val="1B71B3B9"/>
    <w:rsid w:val="1EAFB3CD"/>
    <w:rsid w:val="22332240"/>
    <w:rsid w:val="227E8B68"/>
    <w:rsid w:val="2283B2C7"/>
    <w:rsid w:val="24FC6A37"/>
    <w:rsid w:val="25656D49"/>
    <w:rsid w:val="26313937"/>
    <w:rsid w:val="267067F8"/>
    <w:rsid w:val="27C52995"/>
    <w:rsid w:val="288A43D9"/>
    <w:rsid w:val="28EB5751"/>
    <w:rsid w:val="2B21349F"/>
    <w:rsid w:val="2CB3B6E5"/>
    <w:rsid w:val="2D2A1CB4"/>
    <w:rsid w:val="30B3D4FA"/>
    <w:rsid w:val="3195C803"/>
    <w:rsid w:val="31D2B3A3"/>
    <w:rsid w:val="355FB314"/>
    <w:rsid w:val="37743875"/>
    <w:rsid w:val="37C3CD1D"/>
    <w:rsid w:val="389B0561"/>
    <w:rsid w:val="39803713"/>
    <w:rsid w:val="398B899C"/>
    <w:rsid w:val="39C45957"/>
    <w:rsid w:val="3BA37E72"/>
    <w:rsid w:val="3C5D8E7A"/>
    <w:rsid w:val="3D1C8815"/>
    <w:rsid w:val="3E642F3C"/>
    <w:rsid w:val="3EDAFECD"/>
    <w:rsid w:val="3F1B9CE1"/>
    <w:rsid w:val="3F2A81BE"/>
    <w:rsid w:val="3F3CAB5E"/>
    <w:rsid w:val="4129BA42"/>
    <w:rsid w:val="41301081"/>
    <w:rsid w:val="4215118C"/>
    <w:rsid w:val="422A51D3"/>
    <w:rsid w:val="439A6113"/>
    <w:rsid w:val="44A32675"/>
    <w:rsid w:val="4578FA8A"/>
    <w:rsid w:val="45C5C3D4"/>
    <w:rsid w:val="465BFE84"/>
    <w:rsid w:val="48E2C80A"/>
    <w:rsid w:val="49ECEF1C"/>
    <w:rsid w:val="4A1AE620"/>
    <w:rsid w:val="4BB2F616"/>
    <w:rsid w:val="4C3B3B76"/>
    <w:rsid w:val="4C7CD133"/>
    <w:rsid w:val="4C886CE3"/>
    <w:rsid w:val="4FB94C3C"/>
    <w:rsid w:val="5118B33C"/>
    <w:rsid w:val="51B2A4C9"/>
    <w:rsid w:val="527FB48D"/>
    <w:rsid w:val="53448B79"/>
    <w:rsid w:val="549BF305"/>
    <w:rsid w:val="54CC9AF5"/>
    <w:rsid w:val="55F245F6"/>
    <w:rsid w:val="5604499B"/>
    <w:rsid w:val="5745FD86"/>
    <w:rsid w:val="57507FE4"/>
    <w:rsid w:val="581BB1D5"/>
    <w:rsid w:val="58256ED1"/>
    <w:rsid w:val="5C1B0E78"/>
    <w:rsid w:val="5CAF8856"/>
    <w:rsid w:val="5EF1CB92"/>
    <w:rsid w:val="5FF87DF8"/>
    <w:rsid w:val="601C3516"/>
    <w:rsid w:val="60BCE809"/>
    <w:rsid w:val="60EAD187"/>
    <w:rsid w:val="62ED4914"/>
    <w:rsid w:val="637EF282"/>
    <w:rsid w:val="63CFAC09"/>
    <w:rsid w:val="6437D90D"/>
    <w:rsid w:val="6476AEAB"/>
    <w:rsid w:val="649913AC"/>
    <w:rsid w:val="6504CF63"/>
    <w:rsid w:val="66C35C44"/>
    <w:rsid w:val="67475046"/>
    <w:rsid w:val="6790ABAD"/>
    <w:rsid w:val="696399B5"/>
    <w:rsid w:val="69EE1640"/>
    <w:rsid w:val="6A1A85DC"/>
    <w:rsid w:val="6B7B650E"/>
    <w:rsid w:val="6C50EF56"/>
    <w:rsid w:val="6CDF2811"/>
    <w:rsid w:val="6DED6DF1"/>
    <w:rsid w:val="6EBEABF1"/>
    <w:rsid w:val="6EFD8837"/>
    <w:rsid w:val="6F3E754F"/>
    <w:rsid w:val="733D54DB"/>
    <w:rsid w:val="73933D21"/>
    <w:rsid w:val="7439D222"/>
    <w:rsid w:val="77039F92"/>
    <w:rsid w:val="773E7654"/>
    <w:rsid w:val="7A02B292"/>
    <w:rsid w:val="7B35801C"/>
    <w:rsid w:val="7B397A23"/>
    <w:rsid w:val="7C286CE7"/>
    <w:rsid w:val="7C48AF2C"/>
    <w:rsid w:val="7CCC20D7"/>
    <w:rsid w:val="7ED80C4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3D73"/>
  <w15:chartTrackingRefBased/>
  <w15:docId w15:val="{3FFAC342-D126-42BD-996B-82DCAB47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5369E"/>
    <w:pPr>
      <w:spacing w:after="0" w:line="240" w:lineRule="auto"/>
    </w:pPr>
    <w:rPr>
      <w:rFonts w:ascii="Arial" w:hAnsi="Arial"/>
      <w:kern w:val="0"/>
      <w:sz w:val="22"/>
      <w:szCs w:val="22"/>
      <w14:ligatures w14:val="none"/>
    </w:rPr>
  </w:style>
  <w:style w:type="paragraph" w:styleId="Pealkiri1">
    <w:name w:val="heading 1"/>
    <w:basedOn w:val="Normaallaad"/>
    <w:next w:val="Normaallaad"/>
    <w:uiPriority w:val="9"/>
    <w:qFormat/>
    <w:rsid w:val="002536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uiPriority w:val="9"/>
    <w:semiHidden/>
    <w:unhideWhenUsed/>
    <w:qFormat/>
    <w:rsid w:val="002536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uiPriority w:val="9"/>
    <w:semiHidden/>
    <w:unhideWhenUsed/>
    <w:qFormat/>
    <w:rsid w:val="0025369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uiPriority w:val="9"/>
    <w:semiHidden/>
    <w:unhideWhenUsed/>
    <w:qFormat/>
    <w:rsid w:val="0025369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Pealkiri5">
    <w:name w:val="heading 5"/>
    <w:basedOn w:val="Normaallaad"/>
    <w:next w:val="Normaallaad"/>
    <w:uiPriority w:val="9"/>
    <w:semiHidden/>
    <w:unhideWhenUsed/>
    <w:qFormat/>
    <w:rsid w:val="0025369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Pealkiri6">
    <w:name w:val="heading 6"/>
    <w:basedOn w:val="Normaallaad"/>
    <w:next w:val="Normaallaad"/>
    <w:uiPriority w:val="9"/>
    <w:semiHidden/>
    <w:unhideWhenUsed/>
    <w:qFormat/>
    <w:rsid w:val="0025369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Pealkiri7">
    <w:name w:val="heading 7"/>
    <w:basedOn w:val="Normaallaad"/>
    <w:next w:val="Normaallaad"/>
    <w:uiPriority w:val="9"/>
    <w:semiHidden/>
    <w:unhideWhenUsed/>
    <w:qFormat/>
    <w:rsid w:val="0025369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Pealkiri8">
    <w:name w:val="heading 8"/>
    <w:basedOn w:val="Normaallaad"/>
    <w:next w:val="Normaallaad"/>
    <w:uiPriority w:val="9"/>
    <w:semiHidden/>
    <w:unhideWhenUsed/>
    <w:qFormat/>
    <w:rsid w:val="0025369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Pealkiri9">
    <w:name w:val="heading 9"/>
    <w:basedOn w:val="Normaallaad"/>
    <w:next w:val="Normaallaad"/>
    <w:uiPriority w:val="9"/>
    <w:semiHidden/>
    <w:unhideWhenUsed/>
    <w:qFormat/>
    <w:rsid w:val="0025369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25369E"/>
    <w:pPr>
      <w:spacing w:after="160" w:line="278" w:lineRule="auto"/>
      <w:ind w:left="720"/>
      <w:contextualSpacing/>
    </w:pPr>
    <w:rPr>
      <w:rFonts w:asciiTheme="minorHAnsi" w:hAnsiTheme="minorHAnsi"/>
      <w:kern w:val="2"/>
      <w:sz w:val="24"/>
      <w:szCs w:val="24"/>
      <w14:ligatures w14:val="standardContextual"/>
    </w:rPr>
  </w:style>
  <w:style w:type="character" w:styleId="Selgeltmrgatavrhutus">
    <w:name w:val="Intense Emphasis"/>
    <w:basedOn w:val="Liguvaikefont"/>
    <w:uiPriority w:val="21"/>
    <w:qFormat/>
    <w:rsid w:val="0025369E"/>
    <w:rPr>
      <w:i/>
      <w:iCs/>
      <w:color w:val="0F4761" w:themeColor="accent1" w:themeShade="BF"/>
    </w:rPr>
  </w:style>
  <w:style w:type="character" w:styleId="Selgeltmrgatavviide">
    <w:name w:val="Intense Reference"/>
    <w:basedOn w:val="Liguvaikefont"/>
    <w:uiPriority w:val="32"/>
    <w:qFormat/>
    <w:rsid w:val="0025369E"/>
    <w:rPr>
      <w:b/>
      <w:bCs/>
      <w:smallCaps/>
      <w:color w:val="0F4761" w:themeColor="accent1" w:themeShade="BF"/>
      <w:spacing w:val="5"/>
    </w:rPr>
  </w:style>
  <w:style w:type="table" w:styleId="Kontuurtabel">
    <w:name w:val="Table Grid"/>
    <w:basedOn w:val="TableNormal"/>
    <w:uiPriority w:val="39"/>
    <w:rsid w:val="008D7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6F6B8D"/>
    <w:pPr>
      <w:spacing w:after="0" w:line="240" w:lineRule="auto"/>
    </w:pPr>
    <w:rPr>
      <w:rFonts w:ascii="Arial" w:hAnsi="Arial"/>
      <w:kern w:val="0"/>
      <w:sz w:val="22"/>
      <w:szCs w:val="22"/>
      <w14:ligatures w14:val="none"/>
    </w:rPr>
  </w:style>
  <w:style w:type="character" w:styleId="Allmrkuseviide">
    <w:name w:val="footnote reference"/>
    <w:basedOn w:val="Liguvaikefont"/>
    <w:uiPriority w:val="99"/>
    <w:semiHidden/>
    <w:unhideWhenUsed/>
    <w:rsid w:val="00366974"/>
    <w:rPr>
      <w:vertAlign w:val="superscript"/>
    </w:rPr>
  </w:style>
  <w:style w:type="character" w:styleId="Hperlink">
    <w:name w:val="Hyperlink"/>
    <w:basedOn w:val="Liguvaikefont"/>
    <w:uiPriority w:val="99"/>
    <w:unhideWhenUsed/>
    <w:rsid w:val="00366974"/>
    <w:rPr>
      <w:color w:val="467886" w:themeColor="hyperlink"/>
      <w:u w:val="single"/>
    </w:rPr>
  </w:style>
  <w:style w:type="character" w:styleId="Lahendamatamainimine">
    <w:name w:val="Unresolved Mention"/>
    <w:basedOn w:val="Liguvaikefont"/>
    <w:uiPriority w:val="99"/>
    <w:semiHidden/>
    <w:unhideWhenUsed/>
    <w:rsid w:val="00366974"/>
    <w:rPr>
      <w:color w:val="605E5C"/>
      <w:shd w:val="clear" w:color="auto" w:fill="E1DFDD"/>
    </w:rPr>
  </w:style>
  <w:style w:type="character" w:styleId="Tugev">
    <w:name w:val="Strong"/>
    <w:basedOn w:val="Liguvaikefont"/>
    <w:uiPriority w:val="22"/>
    <w:qFormat/>
    <w:rsid w:val="005A31EF"/>
    <w:rPr>
      <w:b/>
      <w:bCs/>
    </w:rPr>
  </w:style>
  <w:style w:type="paragraph" w:customStyle="1" w:styleId="pdq2pgselectionanchorcontainer">
    <w:name w:val="pdq2pg_selectionanchorcontainer"/>
    <w:basedOn w:val="Normaallaad"/>
    <w:rsid w:val="005A31EF"/>
    <w:pPr>
      <w:spacing w:before="100" w:beforeAutospacing="1" w:after="100" w:afterAutospacing="1"/>
    </w:pPr>
    <w:rPr>
      <w:rFonts w:ascii="Times New Roman" w:eastAsia="Times New Roman" w:hAnsi="Times New Roman" w:cs="Times New Roman"/>
      <w:sz w:val="24"/>
      <w:szCs w:val="24"/>
      <w:lang w:eastAsia="et-EE"/>
    </w:rPr>
  </w:style>
  <w:style w:type="paragraph" w:styleId="Normaallaadveeb">
    <w:name w:val="Normal (Web)"/>
    <w:basedOn w:val="Normaallaad"/>
    <w:uiPriority w:val="99"/>
    <w:unhideWhenUsed/>
    <w:rsid w:val="005A31EF"/>
    <w:pPr>
      <w:spacing w:before="100" w:beforeAutospacing="1" w:after="100" w:afterAutospacing="1"/>
    </w:pPr>
    <w:rPr>
      <w:rFonts w:ascii="Times New Roman" w:eastAsia="Times New Roman" w:hAnsi="Times New Roman" w:cs="Times New Roman"/>
      <w:sz w:val="24"/>
      <w:szCs w:val="24"/>
      <w:lang w:eastAsia="et-EE"/>
    </w:rPr>
  </w:style>
  <w:style w:type="character" w:customStyle="1" w:styleId="cf01">
    <w:name w:val="cf01"/>
    <w:basedOn w:val="Liguvaikefont"/>
    <w:rsid w:val="00D657E9"/>
    <w:rPr>
      <w:rFonts w:ascii="Segoe UI" w:hAnsi="Segoe UI" w:cs="Segoe UI" w:hint="default"/>
      <w:sz w:val="18"/>
      <w:szCs w:val="18"/>
    </w:rPr>
  </w:style>
  <w:style w:type="paragraph" w:customStyle="1" w:styleId="pf0">
    <w:name w:val="pf0"/>
    <w:basedOn w:val="Normaallaad"/>
    <w:rsid w:val="00F629E2"/>
    <w:pPr>
      <w:spacing w:before="100" w:beforeAutospacing="1" w:after="100" w:afterAutospacing="1"/>
    </w:pPr>
    <w:rPr>
      <w:rFonts w:ascii="Times New Roman" w:eastAsia="Times New Roman" w:hAnsi="Times New Roman" w:cs="Times New Roman"/>
      <w:sz w:val="24"/>
      <w:szCs w:val="24"/>
      <w:lang w:eastAsia="et-EE"/>
    </w:rPr>
  </w:style>
  <w:style w:type="character" w:styleId="Mainimine">
    <w:name w:val="Mention"/>
    <w:basedOn w:val="Liguvaikefont"/>
    <w:uiPriority w:val="99"/>
    <w:unhideWhenUsed/>
    <w:rsid w:val="00326FA1"/>
    <w:rPr>
      <w:color w:val="2B579A"/>
      <w:shd w:val="clear" w:color="auto" w:fill="E1DFDD"/>
    </w:rPr>
  </w:style>
  <w:style w:type="paragraph" w:customStyle="1" w:styleId="isselectedend">
    <w:name w:val="isselectedend"/>
    <w:basedOn w:val="Normaallaad"/>
    <w:rsid w:val="00716383"/>
    <w:pPr>
      <w:spacing w:before="100" w:beforeAutospacing="1" w:after="100" w:afterAutospacing="1"/>
    </w:pPr>
    <w:rPr>
      <w:rFonts w:ascii="Times New Roman" w:eastAsia="Times New Roman" w:hAnsi="Times New Roman" w:cs="Times New Roman"/>
      <w:sz w:val="24"/>
      <w:szCs w:val="24"/>
      <w:lang w:eastAsia="et-EE"/>
    </w:rPr>
  </w:style>
  <w:style w:type="paragraph" w:customStyle="1" w:styleId="CommentText1">
    <w:name w:val="Comment Text1"/>
    <w:link w:val="CommentTextChar"/>
    <w:uiPriority w:val="99"/>
    <w:unhideWhenUsed/>
    <w:rsid w:val="00832E77"/>
    <w:pPr>
      <w:spacing w:line="259" w:lineRule="auto"/>
    </w:pPr>
    <w:rPr>
      <w:kern w:val="0"/>
      <w:sz w:val="20"/>
      <w:szCs w:val="20"/>
      <w:lang w:val="en-US"/>
      <w14:ligatures w14:val="none"/>
    </w:rPr>
  </w:style>
  <w:style w:type="character" w:customStyle="1" w:styleId="CommentTextChar">
    <w:name w:val="Comment Text Char"/>
    <w:basedOn w:val="Liguvaikefont"/>
    <w:link w:val="CommentText1"/>
    <w:uiPriority w:val="99"/>
    <w:rsid w:val="00832E77"/>
    <w:rPr>
      <w:kern w:val="0"/>
      <w:sz w:val="20"/>
      <w:szCs w:val="20"/>
      <w:lang w:val="en-US"/>
      <w14:ligatures w14:val="none"/>
    </w:rPr>
  </w:style>
  <w:style w:type="character" w:customStyle="1" w:styleId="CommentReference1">
    <w:name w:val="Comment Reference1"/>
    <w:basedOn w:val="Liguvaikefont"/>
    <w:uiPriority w:val="99"/>
    <w:semiHidden/>
    <w:unhideWhenUsed/>
    <w:rsid w:val="00832E77"/>
    <w:rPr>
      <w:sz w:val="16"/>
      <w:szCs w:val="16"/>
    </w:rPr>
  </w:style>
  <w:style w:type="paragraph" w:customStyle="1" w:styleId="CommentSubject1">
    <w:name w:val="Comment Subject1"/>
    <w:basedOn w:val="CommentText1"/>
    <w:next w:val="CommentText1"/>
    <w:link w:val="CommentSubjectChar"/>
    <w:uiPriority w:val="99"/>
    <w:semiHidden/>
    <w:unhideWhenUsed/>
    <w:rsid w:val="00832E77"/>
    <w:pPr>
      <w:spacing w:after="0" w:line="240" w:lineRule="auto"/>
    </w:pPr>
    <w:rPr>
      <w:rFonts w:ascii="Arial" w:hAnsi="Arial"/>
      <w:b/>
      <w:bCs/>
    </w:rPr>
  </w:style>
  <w:style w:type="character" w:customStyle="1" w:styleId="CommentSubjectChar">
    <w:name w:val="Comment Subject Char"/>
    <w:basedOn w:val="CommentTextChar"/>
    <w:link w:val="CommentSubject1"/>
    <w:uiPriority w:val="99"/>
    <w:semiHidden/>
    <w:rsid w:val="00832E77"/>
    <w:rPr>
      <w:rFonts w:ascii="Arial" w:hAnsi="Arial"/>
      <w:b/>
      <w:bCs/>
      <w:kern w:val="0"/>
      <w:sz w:val="20"/>
      <w:szCs w:val="20"/>
      <w:lang w:val="en-US"/>
      <w14:ligatures w14:val="none"/>
    </w:rPr>
  </w:style>
  <w:style w:type="character" w:customStyle="1" w:styleId="Pealkiri1Mrk">
    <w:name w:val="Pealkiri 1 Märk"/>
    <w:basedOn w:val="Liguvaikefont"/>
    <w:uiPriority w:val="9"/>
    <w:rsid w:val="00CC00F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CC00F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CC00F3"/>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CC00F3"/>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CC00F3"/>
    <w:rPr>
      <w:rFonts w:eastAsiaTheme="majorEastAsia" w:cstheme="majorBidi"/>
      <w:color w:val="0F4761" w:themeColor="accent1" w:themeShade="BF"/>
    </w:rPr>
  </w:style>
  <w:style w:type="character" w:customStyle="1" w:styleId="Pealkiri6Mrk">
    <w:name w:val="Pealkiri 6 Märk"/>
    <w:basedOn w:val="Liguvaikefont"/>
    <w:uiPriority w:val="9"/>
    <w:semiHidden/>
    <w:rsid w:val="00CC00F3"/>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CC00F3"/>
    <w:rPr>
      <w:rFonts w:eastAsiaTheme="majorEastAsia" w:cstheme="majorBidi"/>
      <w:color w:val="595959" w:themeColor="text1" w:themeTint="A6"/>
    </w:rPr>
  </w:style>
  <w:style w:type="character" w:customStyle="1" w:styleId="Pealkiri8Mrk">
    <w:name w:val="Pealkiri 8 Märk"/>
    <w:basedOn w:val="Liguvaikefont"/>
    <w:uiPriority w:val="9"/>
    <w:semiHidden/>
    <w:rsid w:val="00CC00F3"/>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CC00F3"/>
    <w:rPr>
      <w:rFonts w:eastAsiaTheme="majorEastAsia" w:cstheme="majorBidi"/>
      <w:color w:val="272727" w:themeColor="text1" w:themeTint="D8"/>
    </w:rPr>
  </w:style>
  <w:style w:type="character" w:customStyle="1" w:styleId="PealkiriMrk">
    <w:name w:val="Pealkiri Märk"/>
    <w:basedOn w:val="Liguvaikefont"/>
    <w:uiPriority w:val="10"/>
    <w:rsid w:val="00CC00F3"/>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CC00F3"/>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CC00F3"/>
    <w:rPr>
      <w:i/>
      <w:iCs/>
      <w:color w:val="404040" w:themeColor="text1" w:themeTint="BF"/>
    </w:rPr>
  </w:style>
  <w:style w:type="character" w:customStyle="1" w:styleId="SelgeltmrgatavtsitaatMrk">
    <w:name w:val="Selgelt märgatav tsitaat Märk"/>
    <w:basedOn w:val="Liguvaikefont"/>
    <w:uiPriority w:val="30"/>
    <w:rsid w:val="00CC00F3"/>
    <w:rPr>
      <w:i/>
      <w:iCs/>
      <w:color w:val="0F4761" w:themeColor="accent1" w:themeShade="BF"/>
    </w:rPr>
  </w:style>
  <w:style w:type="character" w:customStyle="1" w:styleId="AllmrkusetekstMrk">
    <w:name w:val="Allmärkuse tekst Märk"/>
    <w:basedOn w:val="Liguvaikefont"/>
    <w:uiPriority w:val="99"/>
    <w:semiHidden/>
    <w:rsid w:val="00CC00F3"/>
    <w:rPr>
      <w:rFonts w:ascii="Arial" w:hAnsi="Arial"/>
      <w:kern w:val="0"/>
      <w:sz w:val="20"/>
      <w:szCs w:val="20"/>
      <w14:ligatures w14:val="none"/>
    </w:rPr>
  </w:style>
  <w:style w:type="character" w:customStyle="1" w:styleId="PisMrk">
    <w:name w:val="Päis Märk"/>
    <w:basedOn w:val="Liguvaikefont"/>
    <w:uiPriority w:val="99"/>
    <w:semiHidden/>
    <w:rsid w:val="00CC00F3"/>
    <w:rPr>
      <w:rFonts w:ascii="Arial" w:hAnsi="Arial"/>
      <w:kern w:val="0"/>
      <w:sz w:val="22"/>
      <w:szCs w:val="22"/>
      <w14:ligatures w14:val="none"/>
    </w:rPr>
  </w:style>
  <w:style w:type="character" w:customStyle="1" w:styleId="JalusMrk">
    <w:name w:val="Jalus Märk"/>
    <w:basedOn w:val="Liguvaikefont"/>
    <w:uiPriority w:val="99"/>
    <w:semiHidden/>
    <w:rsid w:val="00CC00F3"/>
    <w:rPr>
      <w:rFonts w:ascii="Arial" w:hAnsi="Arial"/>
      <w:kern w:val="0"/>
      <w:sz w:val="22"/>
      <w:szCs w:val="22"/>
      <w14:ligatures w14:val="none"/>
    </w:rPr>
  </w:style>
  <w:style w:type="paragraph" w:styleId="Pis">
    <w:name w:val="header"/>
    <w:basedOn w:val="Normaallaad"/>
    <w:link w:val="PisMrk1"/>
    <w:uiPriority w:val="99"/>
    <w:semiHidden/>
    <w:unhideWhenUsed/>
    <w:rsid w:val="002566F2"/>
    <w:pPr>
      <w:tabs>
        <w:tab w:val="center" w:pos="4536"/>
        <w:tab w:val="right" w:pos="9072"/>
      </w:tabs>
    </w:pPr>
  </w:style>
  <w:style w:type="character" w:customStyle="1" w:styleId="PisMrk1">
    <w:name w:val="Päis Märk1"/>
    <w:basedOn w:val="Liguvaikefont"/>
    <w:link w:val="Pis"/>
    <w:uiPriority w:val="99"/>
    <w:semiHidden/>
    <w:rsid w:val="002566F2"/>
    <w:rPr>
      <w:rFonts w:ascii="Arial" w:hAnsi="Arial"/>
      <w:kern w:val="0"/>
      <w:sz w:val="22"/>
      <w:szCs w:val="22"/>
      <w14:ligatures w14:val="none"/>
    </w:rPr>
  </w:style>
  <w:style w:type="paragraph" w:styleId="Jalus">
    <w:name w:val="footer"/>
    <w:basedOn w:val="Normaallaad"/>
    <w:link w:val="JalusMrk1"/>
    <w:uiPriority w:val="99"/>
    <w:semiHidden/>
    <w:unhideWhenUsed/>
    <w:rsid w:val="002566F2"/>
    <w:pPr>
      <w:tabs>
        <w:tab w:val="center" w:pos="4536"/>
        <w:tab w:val="right" w:pos="9072"/>
      </w:tabs>
    </w:pPr>
  </w:style>
  <w:style w:type="character" w:customStyle="1" w:styleId="JalusMrk1">
    <w:name w:val="Jalus Märk1"/>
    <w:basedOn w:val="Liguvaikefont"/>
    <w:link w:val="Jalus"/>
    <w:uiPriority w:val="99"/>
    <w:semiHidden/>
    <w:rsid w:val="002566F2"/>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CFD53691CF2746B1B5341B3DEC1AFB" ma:contentTypeVersion="9" ma:contentTypeDescription="Create a new document." ma:contentTypeScope="" ma:versionID="41ea05e0caedf1ea5e1d9847c9ab5146">
  <xsd:schema xmlns:xsd="http://www.w3.org/2001/XMLSchema" xmlns:xs="http://www.w3.org/2001/XMLSchema" xmlns:p="http://schemas.microsoft.com/office/2006/metadata/properties" xmlns:ns2="ce3f51e1-bba9-40da-a5ca-46a5496fa266" xmlns:ns3="08adef74-251f-42fc-9024-6df5c4e3f36b" targetNamespace="http://schemas.microsoft.com/office/2006/metadata/properties" ma:root="true" ma:fieldsID="30ef7f769278f059af97f0a9c5e892cf" ns2:_="" ns3:_="">
    <xsd:import namespace="ce3f51e1-bba9-40da-a5ca-46a5496fa266"/>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3f51e1-bba9-40da-a5ca-46a5496fa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ce3f51e1-bba9-40da-a5ca-46a5496fa2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053C1F-D863-474C-8F84-5F11EC0BC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3f51e1-bba9-40da-a5ca-46a5496fa266"/>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2787F1-542F-4D3D-B492-048249B80E90}">
  <ds:schemaRefs>
    <ds:schemaRef ds:uri="http://schemas.microsoft.com/office/2006/metadata/properties"/>
    <ds:schemaRef ds:uri="http://schemas.microsoft.com/office/infopath/2007/PartnerControls"/>
    <ds:schemaRef ds:uri="08adef74-251f-42fc-9024-6df5c4e3f36b"/>
    <ds:schemaRef ds:uri="ce3f51e1-bba9-40da-a5ca-46a5496fa266"/>
  </ds:schemaRefs>
</ds:datastoreItem>
</file>

<file path=customXml/itemProps3.xml><?xml version="1.0" encoding="utf-8"?>
<ds:datastoreItem xmlns:ds="http://schemas.openxmlformats.org/officeDocument/2006/customXml" ds:itemID="{05C577FD-5943-4A12-A59B-B9553976B2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2758</Words>
  <Characters>20747</Characters>
  <Application>Microsoft Office Word</Application>
  <DocSecurity>0</DocSecurity>
  <Lines>406</Lines>
  <Paragraphs>109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Unukainen - SOM</dc:creator>
  <cp:keywords/>
  <dc:description/>
  <cp:lastModifiedBy>Tiina Unukainen - SOM</cp:lastModifiedBy>
  <cp:revision>10</cp:revision>
  <dcterms:created xsi:type="dcterms:W3CDTF">2026-07-29T19:16:00Z</dcterms:created>
  <dcterms:modified xsi:type="dcterms:W3CDTF">2026-09-18T16:15:00Z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2026-07-30T15:37:10Z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9d7efb79-6370-4261-b5e1-25efe5f1fd20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0x01010084CFD53691CF2746B1B5341B3DEC1AFB</vt:lpwstr>
  </property>
  <property fmtid="{D5CDD505-2E9C-101B-9397-08002B2CF9AE}" pid="11" name="MediaServiceImageTags">
    <vt:lpwstr/>
  </property>
  <property fmtid="{D5CDD505-2E9C-101B-9397-08002B2CF9AE}" pid="12" name="docLang">
    <vt:lpwstr>et</vt:lpwstr>
  </property>
</Properties>
</file>